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r>
        <w:rPr>
          <w:rFonts w:hint="eastAsia" w:ascii="宋体" w:hAnsi="宋体" w:eastAsia="宋体"/>
          <w:color w:val="0000FF"/>
          <w:sz w:val="52"/>
          <w:szCs w:val="52"/>
        </w:rPr>
        <w:t>致知楼</w:t>
      </w:r>
      <w:r>
        <w:rPr>
          <w:rFonts w:ascii="宋体" w:hAnsi="宋体" w:eastAsia="宋体"/>
          <w:color w:val="0000FF"/>
          <w:sz w:val="52"/>
          <w:szCs w:val="52"/>
        </w:rPr>
        <w:t xml:space="preserve"> 408 </w:t>
      </w:r>
      <w:r>
        <w:rPr>
          <w:rFonts w:hint="eastAsia" w:ascii="宋体" w:hAnsi="宋体" w:eastAsia="宋体"/>
          <w:color w:val="0000FF"/>
          <w:sz w:val="52"/>
          <w:szCs w:val="52"/>
        </w:rPr>
        <w:t>房及附楼维修工程</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SZUHQ20221100</w:t>
      </w:r>
      <w:r>
        <w:rPr>
          <w:rFonts w:hint="eastAsia" w:hAnsi="宋体" w:eastAsia="宋体"/>
          <w:color w:val="FF0000"/>
          <w:sz w:val="30"/>
          <w:szCs w:val="30"/>
        </w:rPr>
        <w:t>8</w:t>
      </w:r>
      <w:r>
        <w:rPr>
          <w:rFonts w:hAnsi="宋体" w:eastAsia="宋体"/>
          <w:color w:val="FF0000"/>
          <w:sz w:val="30"/>
          <w:szCs w:val="30"/>
        </w:rPr>
        <w:t>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十一</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left="420" w:leftChars="100" w:hanging="210" w:hangingChars="10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致知楼</w:t>
      </w:r>
      <w:r>
        <w:rPr>
          <w:rFonts w:ascii="宋体" w:hAnsi="宋体" w:eastAsia="宋体" w:cs="宋体"/>
          <w:color w:val="FF0000"/>
        </w:rPr>
        <w:t xml:space="preserve"> 408 </w:t>
      </w:r>
      <w:r>
        <w:rPr>
          <w:rFonts w:hint="eastAsia" w:ascii="宋体" w:hAnsi="宋体" w:eastAsia="宋体" w:cs="宋体"/>
          <w:color w:val="FF0000"/>
        </w:rPr>
        <w:t>房及附楼维修工程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 xml:space="preserve">，欢迎资质符合要求的单位进行报名。工程具体要求如下： </w:t>
      </w:r>
    </w:p>
    <w:p>
      <w:pPr>
        <w:snapToGrid w:val="0"/>
        <w:spacing w:before="120" w:line="440" w:lineRule="exact"/>
        <w:ind w:left="420"/>
        <w:rPr>
          <w:rFonts w:eastAsia="宋体" w:cs="宋体"/>
          <w:color w:val="000000"/>
        </w:rPr>
      </w:pPr>
      <w:r>
        <w:rPr>
          <w:rFonts w:hint="eastAsia" w:eastAsia="宋体" w:cs="宋体"/>
          <w:color w:val="000000"/>
        </w:rPr>
        <w:t>一、工程名称：</w:t>
      </w:r>
      <w:r>
        <w:rPr>
          <w:rFonts w:hint="eastAsia" w:eastAsia="宋体" w:cs="宋体"/>
          <w:color w:val="FF0000"/>
        </w:rPr>
        <w:t>致知楼</w:t>
      </w:r>
      <w:r>
        <w:rPr>
          <w:rFonts w:eastAsia="宋体" w:cs="宋体"/>
          <w:color w:val="FF0000"/>
        </w:rPr>
        <w:t xml:space="preserve"> 408 </w:t>
      </w:r>
      <w:r>
        <w:rPr>
          <w:rFonts w:hint="eastAsia" w:eastAsia="宋体" w:cs="宋体"/>
          <w:color w:val="FF0000"/>
        </w:rPr>
        <w:t>房及附楼维修工程</w:t>
      </w:r>
    </w:p>
    <w:p>
      <w:pPr>
        <w:tabs>
          <w:tab w:val="left" w:pos="420"/>
        </w:tabs>
        <w:snapToGrid w:val="0"/>
        <w:spacing w:line="360" w:lineRule="exact"/>
        <w:ind w:firstLine="420" w:firstLineChars="200"/>
        <w:rPr>
          <w:rFonts w:eastAsia="宋体" w:cs="宋体"/>
          <w:color w:val="000000"/>
          <w:u w:val="single"/>
        </w:rPr>
      </w:pPr>
      <w:r>
        <w:rPr>
          <w:rFonts w:hint="eastAsia" w:eastAsia="宋体" w:cs="宋体"/>
          <w:color w:val="000000"/>
        </w:rPr>
        <w:t xml:space="preserve">二、工程编号: </w:t>
      </w:r>
      <w:r>
        <w:rPr>
          <w:rFonts w:hint="eastAsia" w:eastAsia="宋体" w:cs="宋体"/>
          <w:color w:val="FF0000"/>
        </w:rPr>
        <w:t>SZUHQ202211008GC</w:t>
      </w:r>
    </w:p>
    <w:p>
      <w:pPr>
        <w:tabs>
          <w:tab w:val="left" w:pos="420"/>
        </w:tabs>
        <w:snapToGrid w:val="0"/>
        <w:spacing w:line="360" w:lineRule="exact"/>
        <w:ind w:firstLine="420" w:firstLineChars="200"/>
        <w:rPr>
          <w:rFonts w:eastAsia="宋体" w:cs="宋体"/>
          <w:color w:val="000000"/>
          <w:u w:val="single"/>
        </w:rPr>
      </w:pPr>
      <w:r>
        <w:rPr>
          <w:rFonts w:hint="eastAsia" w:eastAsia="宋体" w:cs="宋体"/>
          <w:color w:val="000000"/>
        </w:rPr>
        <w:t>三、工程概况：详见“技术需求”，报价前施工企业必须先进行现场踏勘。</w:t>
      </w:r>
    </w:p>
    <w:p>
      <w:pPr>
        <w:tabs>
          <w:tab w:val="left" w:pos="420"/>
        </w:tabs>
        <w:snapToGrid w:val="0"/>
        <w:spacing w:line="360" w:lineRule="exact"/>
        <w:ind w:firstLine="420" w:firstLineChars="200"/>
        <w:rPr>
          <w:rFonts w:eastAsia="宋体" w:cs="宋体"/>
          <w:color w:val="000000"/>
        </w:rPr>
      </w:pPr>
      <w:r>
        <w:rPr>
          <w:rFonts w:hint="eastAsia" w:eastAsia="宋体" w:cs="宋体"/>
          <w:color w:val="000000"/>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highlight w:val="yellow"/>
        </w:rPr>
        <w:t>建筑装修装饰工程专业承包贰级资质</w:t>
      </w:r>
      <w:r>
        <w:rPr>
          <w:rFonts w:hint="eastAsia" w:ascii="宋体" w:hAnsi="宋体" w:eastAsia="宋体" w:cs="宋体"/>
          <w:color w:val="FF0000"/>
        </w:rPr>
        <w:t>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highlight w:val="green"/>
        </w:rPr>
        <w:t>五、采购预算：合计：82100元（人民币）</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六、评标办法：最低价格法</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七、投标报名时间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1月18日上午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年1</w:t>
      </w:r>
      <w:r>
        <w:rPr>
          <w:rFonts w:ascii="宋体" w:hAnsi="宋体" w:eastAsia="宋体" w:cs="宋体"/>
          <w:color w:val="000000"/>
        </w:rPr>
        <w:t>1</w:t>
      </w:r>
      <w:r>
        <w:rPr>
          <w:rFonts w:hint="eastAsia" w:ascii="宋体" w:hAnsi="宋体" w:eastAsia="宋体" w:cs="宋体"/>
          <w:color w:val="000000"/>
        </w:rPr>
        <w:t>月</w:t>
      </w:r>
      <w:r>
        <w:rPr>
          <w:rFonts w:ascii="宋体" w:hAnsi="宋体" w:eastAsia="宋体" w:cs="宋体"/>
          <w:color w:val="000000"/>
        </w:rPr>
        <w:t>24</w:t>
      </w:r>
      <w:r>
        <w:rPr>
          <w:rFonts w:hint="eastAsia" w:ascii="宋体" w:hAnsi="宋体" w:eastAsia="宋体" w:cs="宋体"/>
          <w:color w:val="000000"/>
        </w:rPr>
        <w:t>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w:t>
      </w:r>
      <w:r>
        <w:rPr>
          <w:rFonts w:ascii="宋体" w:hAnsi="宋体" w:eastAsia="宋体" w:cs="宋体"/>
          <w:color w:val="000000"/>
        </w:rPr>
        <w:t>htps://zhilinservice.szu.edu.cn/v2/m_site/m_login</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八、投标报名方式：深圳大学后勤保障部能源与修缮管理中心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九、招标地点：深圳大学后勤楼617室；</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5日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十一、投标人须自行打印投标报名表（加盖公章）（投标报名表下载链接：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十二、标人可于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21</w:t>
      </w:r>
      <w:r>
        <w:rPr>
          <w:rFonts w:hint="eastAsia" w:ascii="宋体" w:hAnsi="宋体" w:eastAsia="宋体" w:cs="宋体"/>
          <w:color w:val="000000"/>
        </w:rPr>
        <w:t>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27</w:t>
      </w:r>
      <w:r>
        <w:rPr>
          <w:rFonts w:hint="eastAsia" w:ascii="宋体" w:hAnsi="宋体" w:eastAsia="宋体" w:cs="宋体"/>
          <w:color w:val="000000"/>
        </w:rPr>
        <w:t>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1.</w:t>
      </w:r>
      <w:r>
        <w:rPr>
          <w:rFonts w:hint="eastAsia" w:ascii="宋体" w:hAnsi="宋体" w:eastAsia="宋体" w:cs="宋体"/>
          <w:color w:val="000000"/>
        </w:rPr>
        <w:t>开标会议后，在后勤楼</w:t>
      </w:r>
      <w:r>
        <w:rPr>
          <w:rFonts w:ascii="宋体" w:hAnsi="宋体" w:eastAsia="宋体" w:cs="宋体"/>
          <w:color w:val="000000"/>
        </w:rPr>
        <w:t>501</w:t>
      </w:r>
      <w:r>
        <w:rPr>
          <w:rFonts w:hint="eastAsia" w:ascii="宋体" w:hAnsi="宋体" w:eastAsia="宋体" w:cs="宋体"/>
          <w:color w:val="000000"/>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领取成交通知书及签订合同事宜联系人：刘老师</w:t>
      </w:r>
      <w:r>
        <w:rPr>
          <w:rFonts w:ascii="宋体" w:hAnsi="宋体" w:eastAsia="宋体" w:cs="宋体"/>
          <w:color w:val="000000"/>
        </w:rPr>
        <w:t xml:space="preserve">  </w:t>
      </w:r>
      <w:r>
        <w:rPr>
          <w:rFonts w:hint="eastAsia" w:ascii="宋体" w:hAnsi="宋体" w:eastAsia="宋体" w:cs="宋体"/>
          <w:color w:val="000000"/>
        </w:rPr>
        <w:t>电话：（</w:t>
      </w:r>
      <w:r>
        <w:rPr>
          <w:rFonts w:ascii="宋体" w:hAnsi="宋体" w:eastAsia="宋体" w:cs="宋体"/>
          <w:color w:val="000000"/>
        </w:rPr>
        <w:t>0755</w:t>
      </w:r>
      <w:r>
        <w:rPr>
          <w:rFonts w:hint="eastAsia" w:ascii="宋体" w:hAnsi="宋体" w:eastAsia="宋体" w:cs="宋体"/>
          <w:color w:val="000000"/>
        </w:rPr>
        <w:t>）</w:t>
      </w:r>
      <w:r>
        <w:rPr>
          <w:rFonts w:ascii="宋体" w:hAnsi="宋体" w:eastAsia="宋体" w:cs="宋体"/>
          <w:color w:val="000000"/>
        </w:rPr>
        <w:t>26958911</w:t>
      </w:r>
    </w:p>
    <w:p>
      <w:pPr>
        <w:tabs>
          <w:tab w:val="left" w:pos="420"/>
        </w:tabs>
        <w:snapToGrid w:val="0"/>
        <w:spacing w:line="360" w:lineRule="exact"/>
        <w:ind w:firstLine="1365" w:firstLineChars="650"/>
        <w:rPr>
          <w:color w:val="000000"/>
        </w:rPr>
      </w:pPr>
      <w:r>
        <w:rPr>
          <w:rFonts w:ascii="宋体" w:hAnsi="宋体" w:eastAsia="宋体" w:cs="宋体"/>
          <w:color w:val="000000"/>
        </w:rPr>
        <w:t> </w:t>
      </w:r>
    </w:p>
    <w:tbl>
      <w:tblPr>
        <w:tblStyle w:val="27"/>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4"/>
                <w:rFonts w:hint="eastAsia" w:cs="宋体" w:asciiTheme="minorEastAsia" w:hAnsiTheme="minorEastAsia" w:eastAsiaTheme="minorEastAsia"/>
                <w:sz w:val="24"/>
                <w:szCs w:val="24"/>
              </w:rPr>
              <w:t>：致知楼</w:t>
            </w:r>
            <w:r>
              <w:rPr>
                <w:rStyle w:val="34"/>
                <w:rFonts w:cs="宋体" w:asciiTheme="minorEastAsia" w:hAnsiTheme="minorEastAsia" w:eastAsiaTheme="minorEastAsia"/>
                <w:sz w:val="24"/>
                <w:szCs w:val="24"/>
              </w:rPr>
              <w:t xml:space="preserve"> 408 </w:t>
            </w:r>
            <w:r>
              <w:rPr>
                <w:rStyle w:val="34"/>
                <w:rFonts w:hint="eastAsia" w:cs="宋体" w:asciiTheme="minorEastAsia" w:hAnsiTheme="minorEastAsia" w:eastAsiaTheme="minorEastAsia"/>
                <w:sz w:val="24"/>
                <w:szCs w:val="24"/>
              </w:rPr>
              <w:t>房及附楼维修</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w:t>
            </w:r>
            <w:r>
              <w:rPr>
                <w:rFonts w:cs="宋体" w:asciiTheme="minorEastAsia" w:hAnsiTheme="minorEastAsia" w:eastAsiaTheme="minorEastAsia"/>
                <w:color w:val="000000"/>
                <w:sz w:val="24"/>
                <w:szCs w:val="24"/>
              </w:rPr>
              <w:t>20</w:t>
            </w:r>
            <w:r>
              <w:rPr>
                <w:rFonts w:hint="eastAsia" w:cs="宋体" w:asciiTheme="minorEastAsia" w:hAnsiTheme="minorEastAsia" w:eastAsiaTheme="minorEastAsia"/>
                <w:color w:val="000000"/>
                <w:sz w:val="24"/>
                <w:szCs w:val="24"/>
              </w:rPr>
              <w:t>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、主要工作：1.</w:t>
            </w:r>
            <w:r>
              <w:rPr>
                <w:rFonts w:hint="eastAsia" w:cs="宋体" w:asciiTheme="minorEastAsia" w:hAnsiTheme="minorEastAsia" w:eastAsiaTheme="minorEastAsia"/>
                <w:sz w:val="24"/>
                <w:szCs w:val="24"/>
              </w:rPr>
              <w:t>隔断隔墙拆除；</w:t>
            </w:r>
            <w:r>
              <w:rPr>
                <w:rFonts w:asciiTheme="minorEastAsia" w:hAnsiTheme="minorEastAsia" w:eastAsiaTheme="minorEastAsia"/>
                <w:sz w:val="24"/>
                <w:szCs w:val="24"/>
              </w:rPr>
              <w:t>2.</w:t>
            </w:r>
            <w:r>
              <w:rPr>
                <w:rFonts w:hint="eastAsia" w:cs="宋体" w:asciiTheme="minorEastAsia" w:hAnsiTheme="minorEastAsia" w:eastAsiaTheme="minorEastAsia"/>
                <w:sz w:val="24"/>
                <w:szCs w:val="24"/>
              </w:rPr>
              <w:t>配管；</w:t>
            </w:r>
            <w:r>
              <w:rPr>
                <w:rFonts w:asciiTheme="minorEastAsia" w:hAnsiTheme="minorEastAsia" w:eastAsiaTheme="minorEastAsia"/>
                <w:sz w:val="24"/>
                <w:szCs w:val="24"/>
              </w:rPr>
              <w:t>3.</w:t>
            </w:r>
            <w:r>
              <w:rPr>
                <w:rFonts w:hint="eastAsia" w:cs="宋体" w:asciiTheme="minorEastAsia" w:hAnsiTheme="minorEastAsia" w:eastAsiaTheme="minorEastAsia"/>
                <w:sz w:val="24"/>
                <w:szCs w:val="24"/>
              </w:rPr>
              <w:t>天棚油漆面拆除、抹灰面油漆；</w:t>
            </w:r>
            <w:r>
              <w:rPr>
                <w:rFonts w:asciiTheme="minorEastAsia" w:hAnsiTheme="minorEastAsia" w:eastAsiaTheme="minorEastAsia"/>
                <w:sz w:val="24"/>
                <w:szCs w:val="24"/>
              </w:rPr>
              <w:t>4.</w:t>
            </w:r>
            <w:r>
              <w:rPr>
                <w:rFonts w:hint="eastAsia" w:cs="宋体" w:asciiTheme="minorEastAsia" w:hAnsiTheme="minorEastAsia" w:eastAsiaTheme="minorEastAsia"/>
                <w:sz w:val="24"/>
                <w:szCs w:val="24"/>
              </w:rPr>
              <w:t>金属栏杆；</w:t>
            </w:r>
            <w:r>
              <w:rPr>
                <w:rFonts w:asciiTheme="minorEastAsia" w:hAnsiTheme="minorEastAsia" w:eastAsiaTheme="minorEastAsia"/>
                <w:sz w:val="24"/>
                <w:szCs w:val="24"/>
              </w:rPr>
              <w:t>5.</w:t>
            </w:r>
            <w:r>
              <w:rPr>
                <w:rFonts w:hint="eastAsia" w:cs="宋体" w:asciiTheme="minorEastAsia" w:hAnsiTheme="minorEastAsia" w:eastAsiaTheme="minorEastAsia"/>
                <w:sz w:val="24"/>
                <w:szCs w:val="24"/>
              </w:rPr>
              <w:t>金属面油漆等。</w:t>
            </w:r>
          </w:p>
          <w:p>
            <w:pPr>
              <w:spacing w:line="360" w:lineRule="auto"/>
              <w:ind w:left="-2" w:leftChars="-1" w:firstLine="360" w:firstLineChars="150"/>
              <w:rPr>
                <w:rFonts w:asciiTheme="minorEastAsia" w:hAnsiTheme="minorEastAsia" w:eastAsiaTheme="minorEastAsia"/>
                <w:sz w:val="24"/>
                <w:szCs w:val="24"/>
                <w:highlight w:val="yellow"/>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pStyle w:val="3"/>
              <w:spacing w:before="156" w:beforeLines="50" w:after="156" w:afterLines="50"/>
              <w:rPr>
                <w:b/>
                <w:bCs/>
                <w:sz w:val="28"/>
                <w:szCs w:val="28"/>
              </w:rPr>
            </w:pPr>
            <w:bookmarkStart w:id="0" w:name="_Toc82421170"/>
            <w:bookmarkStart w:id="1" w:name="_Toc82421277"/>
            <w:r>
              <w:rPr>
                <w:rFonts w:hint="eastAsia" w:eastAsia="宋体" w:cs="宋体"/>
                <w:b/>
                <w:bCs/>
                <w:sz w:val="28"/>
                <w:szCs w:val="28"/>
              </w:rPr>
              <w:t>三</w:t>
            </w:r>
            <w:r>
              <w:rPr>
                <w:rFonts w:hint="eastAsia"/>
                <w:b/>
                <w:bCs/>
                <w:sz w:val="28"/>
                <w:szCs w:val="28"/>
              </w:rPr>
              <w:t>、项目商务要求</w:t>
            </w:r>
            <w:bookmarkEnd w:id="0"/>
            <w:bookmarkEnd w:id="1"/>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（一）、付款方式</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本工程不支付预付款，当工程完工通过验收经工程结算审核完毕后，提交质量保证金（合同价款的3%）后一次性付清。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（二）、项目保修要求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1.中标人须与采购方签署《工程质量保修书》）。</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4.发生涉及结构安全或者严重影响使用功能的紧急抢修事故，中标人接到电话通知后，应当立即到达现场抢修。</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5.中标人自接到保修通知书后2日内未达到现场或维修两次仍未解决问题的，可由采购方另行委托单位进行保修，费用从质量保证金中扣除。此种情况并不免除中标人的保修责任。</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6.中标人不及时履行保修义务或履行保修义务不力的，给予警告；警告无效的，同时采购方将提请招标人对其作不良行为记录。</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7.质量保修金退还：工程竣工验收合格之日起，装饰装修工程满两年，防水工程满五年，由中标人提出申请办理退还手续。</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（三）质量考核验收标准及违约金：</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由于中标人原因造成质量事故，其返工费用由中标人承担，工期不予顺延。同时，中标人还应赔偿因此给采购方造成的损失。</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hint="eastAsia" w:ascii="宋体" w:hAnsi="宋体"/>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（四）项目管理要求：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1.中标人必须作好施工记录、隐蔽工程记录、施工资料的整理、竣工资料的编制等工作。</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2.安全文明施工：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2"/>
              <w:numPr>
                <w:ilvl w:val="0"/>
                <w:numId w:val="1"/>
              </w:numPr>
              <w:spacing w:before="78" w:beforeLines="25" w:after="78" w:afterLines="25" w:line="360" w:lineRule="auto"/>
              <w:rPr>
                <w:rFonts w:ascii="宋体" w:hAnsi="宋体"/>
                <w:sz w:val="24"/>
                <w:szCs w:val="24"/>
              </w:rPr>
            </w:pPr>
            <w:r>
              <w:rPr>
                <w:rFonts w:hint="eastAsia" w:ascii="宋体" w:hAnsi="宋体"/>
                <w:sz w:val="24"/>
                <w:szCs w:val="24"/>
              </w:rPr>
              <w:t>中标人必须在施工过程中注意自身及周边安全，做好现场及周边安全设施搭设，遵守有关安全保护规程，负责施工过程中的所有事故处理和费用。</w:t>
            </w:r>
          </w:p>
          <w:p>
            <w:pPr>
              <w:pStyle w:val="12"/>
              <w:spacing w:before="78" w:beforeLines="25" w:after="78" w:afterLines="25" w:line="360" w:lineRule="auto"/>
              <w:ind w:left="840" w:firstLine="0"/>
              <w:rPr>
                <w:rFonts w:ascii="宋体" w:hAnsi="宋体"/>
                <w:sz w:val="24"/>
                <w:szCs w:val="24"/>
              </w:rPr>
            </w:pPr>
            <w:r>
              <w:rPr>
                <w:rFonts w:hint="eastAsia" w:ascii="宋体" w:hAnsi="宋体"/>
                <w:sz w:val="24"/>
                <w:szCs w:val="24"/>
                <w:highlight w:val="green"/>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.中标人必须服从采购方，监理公司的监督、指导并积极主动配合上述管理机构的工作。</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.用在本工程的任何材料在使用前必须得到采购方的批准，样品须在大批订货前送审。获准的样品存放在工地，作为以后验收材料的标准。样品和其包装，由中标人无偿提供。</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pPr>
              <w:pStyle w:val="12"/>
              <w:spacing w:before="78" w:beforeLines="25" w:after="78" w:afterLines="25" w:line="360" w:lineRule="auto"/>
              <w:ind w:firstLine="480" w:firstLineChars="200"/>
              <w:rPr>
                <w:rFonts w:ascii="宋体" w:hAnsi="宋体"/>
                <w:szCs w:val="21"/>
              </w:rPr>
            </w:pPr>
            <w:r>
              <w:rPr>
                <w:rFonts w:ascii="宋体" w:hAnsi="宋体"/>
                <w:sz w:val="24"/>
                <w:szCs w:val="24"/>
              </w:rPr>
              <w:t>9</w:t>
            </w:r>
            <w:r>
              <w:rPr>
                <w:rFonts w:hint="eastAsia" w:ascii="宋体" w:hAnsi="宋体"/>
                <w:sz w:val="24"/>
                <w:szCs w:val="24"/>
              </w:rPr>
              <w:t>.本装饰装修工程如没有设计图纸，中标人根据采购方提供的工程量清单以及现场情况施工。在竣工验收后，中标人应根据现场完成情况制作竣工图纸，相关费用由中标人承担。</w:t>
            </w:r>
          </w:p>
          <w:p>
            <w:pPr>
              <w:pStyle w:val="3"/>
              <w:spacing w:before="156" w:beforeLines="50" w:after="156" w:afterLines="50"/>
              <w:rPr>
                <w:b/>
                <w:bCs/>
                <w:sz w:val="28"/>
                <w:szCs w:val="28"/>
              </w:rPr>
            </w:pPr>
            <w:bookmarkStart w:id="2" w:name="_Toc82421171"/>
            <w:bookmarkStart w:id="3" w:name="_Toc82421278"/>
            <w:r>
              <w:rPr>
                <w:rFonts w:hint="eastAsia" w:eastAsia="宋体" w:cs="宋体"/>
                <w:b/>
                <w:bCs/>
                <w:sz w:val="28"/>
                <w:szCs w:val="28"/>
              </w:rPr>
              <w:t>四</w:t>
            </w:r>
            <w:r>
              <w:rPr>
                <w:rFonts w:hint="eastAsia"/>
                <w:b/>
                <w:bCs/>
                <w:sz w:val="28"/>
                <w:szCs w:val="28"/>
              </w:rPr>
              <w:t>、图纸(见附件)</w:t>
            </w:r>
            <w:bookmarkEnd w:id="2"/>
            <w:bookmarkEnd w:id="3"/>
          </w:p>
          <w:p>
            <w:pPr>
              <w:pStyle w:val="3"/>
              <w:spacing w:before="156" w:beforeLines="50" w:after="156" w:afterLines="50"/>
              <w:rPr>
                <w:b/>
                <w:bCs/>
              </w:rPr>
            </w:pPr>
            <w:bookmarkStart w:id="4" w:name="_Toc82421172"/>
            <w:bookmarkStart w:id="5" w:name="_Toc82421279"/>
            <w:r>
              <w:rPr>
                <w:rFonts w:hint="eastAsia" w:eastAsia="宋体" w:cs="宋体"/>
                <w:b/>
                <w:bCs/>
                <w:sz w:val="28"/>
                <w:szCs w:val="28"/>
              </w:rPr>
              <w:t>五</w:t>
            </w:r>
            <w:r>
              <w:rPr>
                <w:rFonts w:hint="eastAsia"/>
                <w:b/>
                <w:bCs/>
                <w:sz w:val="28"/>
                <w:szCs w:val="28"/>
              </w:rPr>
              <w:t>、工程量清单（见附件）</w:t>
            </w:r>
            <w:bookmarkEnd w:id="4"/>
            <w:bookmarkEnd w:id="5"/>
          </w:p>
          <w:p>
            <w:pPr>
              <w:adjustRightInd w:val="0"/>
              <w:snapToGrid w:val="0"/>
              <w:spacing w:line="360" w:lineRule="auto"/>
              <w:ind w:firstLine="482" w:firstLineChars="200"/>
              <w:jc w:val="left"/>
              <w:rPr>
                <w:rFonts w:asciiTheme="minorEastAsia" w:hAnsiTheme="minorEastAsia" w:eastAsiaTheme="minorEastAsia"/>
                <w:b/>
                <w:bCs/>
                <w:snapToGrid w:val="0"/>
                <w:sz w:val="24"/>
                <w:szCs w:val="24"/>
                <w:lang w:val="zh-CN"/>
              </w:rPr>
            </w:pPr>
            <w:r>
              <w:rPr>
                <w:rFonts w:asciiTheme="minorEastAsia" w:hAnsiTheme="minorEastAsia" w:eastAsiaTheme="minorEastAsia"/>
                <w:b/>
                <w:bCs/>
                <w:snapToGrid w:val="0"/>
                <w:sz w:val="24"/>
                <w:szCs w:val="24"/>
                <w:lang w:val="zh-CN"/>
              </w:rPr>
              <w:t>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工程计价办法：</w:t>
            </w:r>
            <w:r>
              <w:rPr>
                <w:rFonts w:asciiTheme="minorEastAsia" w:hAnsiTheme="minorEastAsia" w:eastAsiaTheme="minorEastAsia"/>
                <w:b/>
                <w:color w:val="000000"/>
                <w:sz w:val="24"/>
                <w:szCs w:val="24"/>
                <w:u w:val="single"/>
              </w:rPr>
              <w:t>综合单价法</w:t>
            </w:r>
            <w:r>
              <w:rPr>
                <w:rFonts w:asciiTheme="minorEastAsia" w:hAnsiTheme="minorEastAsia" w:eastAsiaTheme="minorEastAsia"/>
                <w:color w:val="000000"/>
                <w:sz w:val="24"/>
                <w:szCs w:val="24"/>
              </w:rPr>
              <w:t>。</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工程量清单应与投标须知、合同条件、工程建设标准及技术要求和图纸等文件结合起来理解或解释。</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本工程量清单是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根据本招标文件中所提供的设计文件编制的。</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按照《建设工程工程量清单计价规范》的规定，“工程量清单格式”主要包括以下几个部分，但不局限于以下部分：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（1）清单封面；</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（2）总说明；</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包括：工程概况、工程招标范围、工程量清单编制依据、工程质量、材料、施工的特殊要求、预留金及暂定金额的情况等。</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指本次招标的工程项目所包含的单项工程及每个单项工程所包含的单位工程，只有一个单位工程时可不填此表。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（4）分部分项工程量清单；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（5）措施项目清单；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（6）其他项目清单；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该表分为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部分和投标人部分，</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另行招标采购材料设备费用等，由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填写；投标人部分可包括总承包服务费、零星工作项目费等，由投标人根据工程情况，投标报价时填写。</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（7）零星工作项目表；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提出的工程量暂估的零星工作项目，该表费用由投标人计算后汇入其他项目清单的投标人部分。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5.本工程要求采用的工程量计算规则，应作为本工程招投标双方进行工程招投标和结算计量、计价的共同依据。</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6.本工程要求采用的工程量计算规则是《建设工程工程量清单计价规范》（GB50500-2013）及深圳市补充规范；</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7.对“分部分项工程量清单”的说明和报价要求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（1）该清单所列的工程量系</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的估算，是临时的，作为投标报价的共同基础。不应被理解为是对</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要求工作内容的全部定义，也不能作为投标人应完成的实际工程量。结算时，应以由</w:t>
            </w:r>
            <w:r>
              <w:rPr>
                <w:rFonts w:hint="eastAsia" w:cs="宋体" w:asciiTheme="minorEastAsia" w:hAnsiTheme="minorEastAsia" w:eastAsiaTheme="minorEastAsia"/>
                <w:color w:val="000000"/>
                <w:sz w:val="24"/>
                <w:szCs w:val="24"/>
              </w:rPr>
              <w:t>中标人</w:t>
            </w:r>
            <w:r>
              <w:rPr>
                <w:rFonts w:asciiTheme="minorEastAsia" w:hAnsiTheme="minorEastAsia" w:eastAsiaTheme="minorEastAsia"/>
                <w:color w:val="000000"/>
                <w:sz w:val="24"/>
                <w:szCs w:val="24"/>
              </w:rPr>
              <w:t>和</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或由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授权委托的</w:t>
            </w:r>
            <w:r>
              <w:rPr>
                <w:rFonts w:hint="eastAsia" w:cs="宋体" w:asciiTheme="minorEastAsia" w:hAnsiTheme="minorEastAsia" w:eastAsiaTheme="minorEastAsia"/>
                <w:color w:val="000000"/>
                <w:sz w:val="24"/>
                <w:szCs w:val="24"/>
              </w:rPr>
              <w:t>第三方结算审核单位</w:t>
            </w:r>
            <w:r>
              <w:rPr>
                <w:rFonts w:asciiTheme="minorEastAsia" w:hAnsiTheme="minorEastAsia" w:eastAsiaTheme="minorEastAsia"/>
                <w:color w:val="000000"/>
                <w:sz w:val="24"/>
                <w:szCs w:val="24"/>
              </w:rPr>
              <w:t>共同计量、核实的实际完成的工程量为准。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（2）该清单中所填入的综合单价和合价应包括直接成本（即人工、材料、机械）和费用（管理费、利润）、风险金等全部费用。但涉及到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自行采购的设备材料的项目不得计入材料设备的价格。</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 该清单中不再重复或概括工程及材料的一般说明，在编制和填写工程量清单的每一项的综合单价和合价时应参考投标须知和合同条件的有关条款。</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（5）针对该清单，投标人报价时应提供 “分部分项工程量清单综合单价分析表（简表）”。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8.对“措施项目清单”的说明和报价要求：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（1）该清单所列项目均以“一项”提出，是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根据一般情况估计的项目，投标人实际措施项目不同的，可以对具体列项内容进行调整。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（2）该清单的报价为包干费用，除非合同条件中有明确的约定，该费用不得调整。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adjustRightInd w:val="0"/>
              <w:snapToGrid w:val="0"/>
              <w:spacing w:line="360" w:lineRule="auto"/>
              <w:ind w:firstLine="480" w:firstLineChars="200"/>
              <w:jc w:val="left"/>
              <w:rPr>
                <w:rFonts w:asciiTheme="minorEastAsia" w:hAnsiTheme="minorEastAsia" w:eastAsiaTheme="minorEastAsia"/>
                <w:b/>
                <w:color w:val="FF0000"/>
                <w:sz w:val="24"/>
                <w:szCs w:val="24"/>
              </w:rPr>
            </w:pPr>
            <w:r>
              <w:rPr>
                <w:rFonts w:asciiTheme="minorEastAsia" w:hAnsiTheme="minorEastAsia" w:eastAsiaTheme="minorEastAsia"/>
                <w:color w:val="000000"/>
                <w:sz w:val="24"/>
                <w:szCs w:val="24"/>
              </w:rPr>
              <w:t>9．如发现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提供的工程量清单的项目及工程量与图纸实际不符时，除招标文件另有要求外，投标人应在答疑期间提出，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6" w:name="_Toc82421173"/>
            <w:bookmarkStart w:id="7" w:name="_Toc82421280"/>
            <w:r>
              <w:rPr>
                <w:rFonts w:hint="eastAsia" w:asciiTheme="minorEastAsia" w:hAnsiTheme="minorEastAsia" w:eastAsiaTheme="minorEastAsia"/>
                <w:b/>
                <w:bCs/>
                <w:sz w:val="28"/>
                <w:szCs w:val="28"/>
              </w:rPr>
              <w:t>六</w:t>
            </w:r>
            <w:r>
              <w:rPr>
                <w:rFonts w:asciiTheme="minorEastAsia" w:hAnsiTheme="minorEastAsia" w:eastAsiaTheme="minorEastAsia"/>
                <w:b/>
                <w:bCs/>
                <w:sz w:val="28"/>
                <w:szCs w:val="28"/>
              </w:rPr>
              <w:t>、投标报价</w:t>
            </w:r>
            <w:bookmarkEnd w:id="6"/>
            <w:bookmarkEnd w:id="7"/>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1、本工程的工程量清单的投标单价按综合单价方式进行报价；</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3、投标人的投标总报价不得超过财政预算限额；</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5、除非深圳大学</w:t>
            </w:r>
            <w:r>
              <w:rPr>
                <w:rFonts w:hint="eastAsia" w:cs="宋体" w:asciiTheme="minorEastAsia" w:hAnsiTheme="minorEastAsia" w:eastAsiaTheme="minorEastAsia"/>
                <w:sz w:val="24"/>
                <w:szCs w:val="24"/>
              </w:rPr>
              <w:t>后勤保障部工程类招标小组</w:t>
            </w:r>
            <w:r>
              <w:rPr>
                <w:rFonts w:asciiTheme="minorEastAsia" w:hAnsiTheme="minorEastAsia" w:eastAsia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8、投标人投标报价总额一经中标后，即作为中标单位与</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签订该项目合同的总价。合同方式见第一章相关条款。</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（2）如本项目采用固定单价合同。工程量清单所列的工程量系</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的估算，是临时的，作为投标报价的共同基础，不应被理解为是对</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要求工作内容的全部定义，也不能作为投标人应完成的实际工程量。</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（3）投标人的投标报价必须充分考虑到在施工中实施的施工组织设计对工程造价的影响,并在投标报价中反映出来。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9、本项目不接受总价优惠折扣形式的报价，投标人应将对项目的优惠直接在清单报价中体现出来。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委托</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办理的保险事项：建设工程一切险和第三者责任险，所需的保险费应包含在投标价中，施工中若发生安全事故，一切责任及费用由施工单位负责。</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11、工程完工后，</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应恢复修建前的原有状态（工程量按实计算），并使监理工程师和</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满意，满足深圳大学管理部门的规定和要求。</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12、如本工程涉及取土和弃土项目，地点、时间、路线</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应取得国土、城管部门的同意，不得由此带给</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任何费用的增加。凡是因</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措施不当而引起的罚款、索赔和指控等由</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自行承担。投标价不因取土或弃土实际运距与分部分项工程量清单不同而作调整。土方回填料必须满足国家技术规范之要求，绿化填土面层必须选用适宜种植的填土。</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13、一切与施工相关的检验实验费（政府有关部门规定由建设单位支付的检验实验费除外）已含在投标价中。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14、</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的交通维护方案必须保证施工期间的交通组织符合深圳市公安交通管理的有关规定，保证小区车辆运行通畅和施工安全，其费用已含在投标价中。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15</w:t>
            </w:r>
            <w:r>
              <w:rPr>
                <w:rFonts w:hint="eastAsia" w:asciiTheme="minorEastAsia" w:hAnsiTheme="minorEastAsia" w:eastAsiaTheme="minorEastAsia"/>
                <w:sz w:val="24"/>
                <w:szCs w:val="24"/>
              </w:rPr>
              <w:t>、</w:t>
            </w:r>
            <w:r>
              <w:rPr>
                <w:rFonts w:asciiTheme="minorEastAsia" w:hAnsiTheme="minorEastAsia" w:eastAsia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hAnsiTheme="minorEastAsia" w:eastAsiaTheme="minorEastAsia"/>
                <w:color w:val="000000"/>
                <w:sz w:val="24"/>
                <w:szCs w:val="24"/>
                <w:highlight w:val="yellow"/>
              </w:rPr>
              <w:t>（</w:t>
            </w:r>
            <w:r>
              <w:rPr>
                <w:rFonts w:asciiTheme="minorEastAsia" w:hAnsiTheme="minorEastAsia" w:eastAsiaTheme="minorEastAsia"/>
                <w:color w:val="FF0000"/>
                <w:sz w:val="24"/>
                <w:szCs w:val="24"/>
                <w:highlight w:val="yellow"/>
              </w:rPr>
              <w:t>20</w:t>
            </w:r>
            <w:r>
              <w:rPr>
                <w:rFonts w:hint="eastAsia" w:asciiTheme="minorEastAsia" w:hAnsiTheme="minorEastAsia" w:eastAsiaTheme="minorEastAsia"/>
                <w:color w:val="FF0000"/>
                <w:sz w:val="24"/>
                <w:szCs w:val="24"/>
                <w:highlight w:val="yellow"/>
              </w:rPr>
              <w:t>22</w:t>
            </w:r>
            <w:r>
              <w:rPr>
                <w:rFonts w:asciiTheme="minorEastAsia" w:hAnsiTheme="minorEastAsia" w:eastAsiaTheme="minorEastAsia"/>
                <w:color w:val="FF0000"/>
                <w:sz w:val="24"/>
                <w:szCs w:val="24"/>
                <w:highlight w:val="yellow"/>
              </w:rPr>
              <w:t>年第</w:t>
            </w:r>
            <w:r>
              <w:rPr>
                <w:rFonts w:hint="eastAsia" w:asciiTheme="minorEastAsia" w:hAnsiTheme="minorEastAsia" w:eastAsiaTheme="minorEastAsia"/>
                <w:color w:val="FF0000"/>
                <w:sz w:val="24"/>
                <w:szCs w:val="24"/>
                <w:highlight w:val="yellow"/>
              </w:rPr>
              <w:t>2</w:t>
            </w:r>
            <w:r>
              <w:rPr>
                <w:rFonts w:asciiTheme="minorEastAsia" w:hAnsiTheme="minorEastAsia" w:eastAsiaTheme="minorEastAsia"/>
                <w:color w:val="FF0000"/>
                <w:sz w:val="24"/>
                <w:szCs w:val="24"/>
                <w:highlight w:val="yellow"/>
              </w:rPr>
              <w:t>期</w:t>
            </w:r>
            <w:r>
              <w:rPr>
                <w:rFonts w:asciiTheme="minorEastAsia" w:hAnsiTheme="minorEastAsia" w:eastAsiaTheme="minorEastAsia"/>
                <w:color w:val="000000"/>
                <w:sz w:val="24"/>
                <w:szCs w:val="24"/>
                <w:highlight w:val="yellow"/>
              </w:rPr>
              <w:t>）</w:t>
            </w:r>
            <w:r>
              <w:rPr>
                <w:rFonts w:asciiTheme="minorEastAsia" w:hAnsiTheme="minorEastAsia" w:eastAsiaTheme="minorEastAsia"/>
                <w:color w:val="000000"/>
                <w:sz w:val="24"/>
                <w:szCs w:val="24"/>
              </w:rPr>
              <w:t>"。按照国家税收现行有关规定，</w:t>
            </w:r>
            <w:r>
              <w:rPr>
                <w:rFonts w:hint="eastAsia" w:asciiTheme="minorEastAsia" w:hAnsiTheme="minorEastAsia" w:eastAsiaTheme="minorEastAsia"/>
                <w:color w:val="000000"/>
                <w:sz w:val="24"/>
                <w:szCs w:val="24"/>
              </w:rPr>
              <w:t>依据《深圳市建设工程造价管理站关于调整深圳市建设工程计价费率标准增值税综合应纳税费率的通知【</w:t>
            </w:r>
            <w:r>
              <w:rPr>
                <w:rFonts w:asciiTheme="minorEastAsia" w:hAnsiTheme="minorEastAsia" w:eastAsiaTheme="minorEastAsia"/>
                <w:color w:val="000000"/>
                <w:sz w:val="24"/>
                <w:szCs w:val="24"/>
              </w:rPr>
              <w:t>2018</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21</w:t>
            </w:r>
            <w:r>
              <w:rPr>
                <w:rFonts w:hint="eastAsia" w:asciiTheme="minorEastAsia" w:hAnsiTheme="minorEastAsia" w:eastAsiaTheme="minorEastAsia"/>
                <w:color w:val="000000"/>
                <w:sz w:val="24"/>
                <w:szCs w:val="24"/>
              </w:rPr>
              <w:t>号》，增值税应纳税额税（费）率以</w:t>
            </w:r>
            <w:r>
              <w:rPr>
                <w:rFonts w:hint="eastAsia" w:asciiTheme="minorEastAsia" w:hAnsiTheme="minorEastAsia" w:eastAsiaTheme="minorEastAsia"/>
                <w:color w:val="FF0000"/>
                <w:sz w:val="24"/>
                <w:szCs w:val="24"/>
              </w:rPr>
              <w:t>3.14%</w:t>
            </w:r>
            <w:r>
              <w:rPr>
                <w:rFonts w:hint="eastAsia" w:asciiTheme="minorEastAsia" w:hAnsiTheme="minorEastAsia" w:eastAsiaTheme="minorEastAsia"/>
                <w:color w:val="000000"/>
                <w:sz w:val="24"/>
                <w:szCs w:val="24"/>
              </w:rPr>
              <w:t>计算，城市维护建设税、教育费附加及地方教育费附加税（费）率以</w:t>
            </w:r>
            <w:r>
              <w:rPr>
                <w:rFonts w:hint="eastAsia" w:asciiTheme="minorEastAsia" w:hAnsiTheme="minorEastAsia" w:eastAsiaTheme="minorEastAsia"/>
                <w:color w:val="FF0000"/>
                <w:sz w:val="24"/>
                <w:szCs w:val="24"/>
              </w:rPr>
              <w:t>12%</w:t>
            </w:r>
            <w:r>
              <w:rPr>
                <w:rFonts w:hint="eastAsia" w:asciiTheme="minorEastAsia" w:hAnsiTheme="minorEastAsia" w:eastAsiaTheme="minorEastAsia"/>
                <w:color w:val="000000"/>
                <w:sz w:val="24"/>
                <w:szCs w:val="24"/>
              </w:rPr>
              <w:t>计算，需严格按照此税（费）率计算单位工程费。（投标报价书格式见附表）</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16、投标单位根据建设方提供的“工程量清单”，结合现场实况分项分析报价，报价时不允许使用不平衡报价，经评委认定为不平衡报价的做无效投标处理。为了便于评标和</w:t>
            </w:r>
            <w:r>
              <w:rPr>
                <w:rFonts w:hint="eastAsia" w:asciiTheme="minorEastAsia" w:hAnsiTheme="minorEastAsia" w:eastAsiaTheme="minorEastAsia"/>
                <w:color w:val="000000"/>
                <w:sz w:val="24"/>
                <w:szCs w:val="24"/>
              </w:rPr>
              <w:t xml:space="preserve">结算审核 </w:t>
            </w:r>
            <w:r>
              <w:rPr>
                <w:rFonts w:asciiTheme="minorEastAsia" w:hAnsiTheme="minorEastAsia" w:eastAsiaTheme="minorEastAsia"/>
                <w:color w:val="000000"/>
                <w:sz w:val="24"/>
                <w:szCs w:val="24"/>
              </w:rPr>
              <w:t>，清单报价必须附有相应的“取费定额子目录”。</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4、经过深圳大学后勤</w:t>
            </w:r>
            <w:r>
              <w:rPr>
                <w:rFonts w:hint="eastAsia" w:asciiTheme="minorEastAsia" w:hAnsiTheme="minorEastAsia" w:eastAsiaTheme="minorEastAsia"/>
                <w:color w:val="000000"/>
                <w:sz w:val="24"/>
                <w:szCs w:val="24"/>
              </w:rPr>
              <w:t>保障</w:t>
            </w:r>
            <w:r>
              <w:rPr>
                <w:rFonts w:asciiTheme="minorEastAsia" w:hAnsiTheme="minorEastAsia" w:eastAsiaTheme="minorEastAsia"/>
                <w:color w:val="000000"/>
                <w:sz w:val="24"/>
                <w:szCs w:val="24"/>
              </w:rPr>
              <w:t>部</w:t>
            </w:r>
            <w:r>
              <w:rPr>
                <w:rFonts w:hint="eastAsia" w:asciiTheme="minorEastAsia" w:hAnsiTheme="minorEastAsia" w:eastAsiaTheme="minorEastAsia"/>
                <w:color w:val="000000"/>
                <w:sz w:val="24"/>
                <w:szCs w:val="24"/>
              </w:rPr>
              <w:t>工程类采购执行小组</w:t>
            </w:r>
            <w:r>
              <w:rPr>
                <w:rFonts w:asciiTheme="minorEastAsia" w:hAnsiTheme="minorEastAsia" w:eastAsia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七</w:t>
            </w:r>
            <w:r>
              <w:rPr>
                <w:rFonts w:asciiTheme="minorEastAsia" w:hAnsiTheme="minorEastAsia" w:eastAsiaTheme="minorEastAsia"/>
                <w:b/>
                <w:bCs/>
                <w:color w:val="000000"/>
                <w:sz w:val="28"/>
                <w:szCs w:val="28"/>
              </w:rPr>
              <w:t>、结算方式∶</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1、工程验收合格后，乙方15个工作日内向甲方递送结算资料。如过期未递送结算资料，由此产生的结果由乙方负责。</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2、中标价为未经审核的最高限价，结算工程量以现场实际发生量进行结算，工程的建设总造价严格按“投标价作为最高结算价”的原则来控制。</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3、工程竣工并验收合格后，中标人必须严格按</w:t>
            </w:r>
            <w:r>
              <w:rPr>
                <w:rFonts w:hint="eastAsia" w:asciiTheme="minorEastAsia" w:hAnsiTheme="minorEastAsia" w:eastAsiaTheme="minorEastAsia"/>
                <w:color w:val="000000"/>
                <w:sz w:val="24"/>
                <w:szCs w:val="24"/>
              </w:rPr>
              <w:t>学校结算审核办公室</w:t>
            </w:r>
            <w:r>
              <w:rPr>
                <w:rFonts w:asciiTheme="minorEastAsia" w:hAnsiTheme="minorEastAsia" w:eastAsiaTheme="minorEastAsia"/>
                <w:color w:val="000000"/>
                <w:sz w:val="24"/>
                <w:szCs w:val="24"/>
              </w:rPr>
              <w:t>要求编制、装订结算竣工资料，工程结算书经项目负责人初审后提交</w:t>
            </w:r>
            <w:r>
              <w:rPr>
                <w:rFonts w:hint="eastAsia" w:asciiTheme="minorEastAsia" w:hAnsiTheme="minorEastAsia" w:eastAsiaTheme="minorEastAsia"/>
                <w:color w:val="000000"/>
                <w:sz w:val="24"/>
                <w:szCs w:val="24"/>
              </w:rPr>
              <w:t>后勤保障部</w:t>
            </w:r>
            <w:r>
              <w:rPr>
                <w:rFonts w:asciiTheme="minorEastAsia" w:hAnsiTheme="minorEastAsia" w:eastAsiaTheme="minorEastAsia"/>
                <w:color w:val="000000"/>
                <w:sz w:val="24"/>
                <w:szCs w:val="24"/>
              </w:rPr>
              <w:t>审核，以</w:t>
            </w:r>
            <w:r>
              <w:rPr>
                <w:rFonts w:hint="eastAsia" w:asciiTheme="minorEastAsia" w:hAnsiTheme="minorEastAsia" w:eastAsiaTheme="minorEastAsia"/>
                <w:color w:val="000000"/>
                <w:sz w:val="24"/>
                <w:szCs w:val="24"/>
              </w:rPr>
              <w:t>此</w:t>
            </w:r>
            <w:r>
              <w:rPr>
                <w:rFonts w:asciiTheme="minorEastAsia" w:hAnsiTheme="minorEastAsia" w:eastAsiaTheme="minorEastAsia"/>
                <w:color w:val="000000"/>
                <w:sz w:val="24"/>
                <w:szCs w:val="24"/>
              </w:rPr>
              <w:t>作为结算价</w:t>
            </w:r>
            <w:r>
              <w:rPr>
                <w:rFonts w:hint="eastAsia" w:asciiTheme="minorEastAsia" w:hAnsiTheme="minorEastAsia" w:eastAsiaTheme="minorEastAsia"/>
                <w:color w:val="000000"/>
                <w:sz w:val="24"/>
                <w:szCs w:val="24"/>
              </w:rPr>
              <w:t>，同时接受学校结算审核办公室抽审检查</w:t>
            </w:r>
            <w:r>
              <w:rPr>
                <w:rFonts w:asciiTheme="minorEastAsia" w:hAnsiTheme="minorEastAsia" w:eastAsiaTheme="minorEastAsia"/>
                <w:color w:val="000000"/>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八</w:t>
            </w:r>
            <w:r>
              <w:rPr>
                <w:rFonts w:asciiTheme="minorEastAsia" w:hAnsiTheme="minorEastAsia" w:eastAsiaTheme="minorEastAsia"/>
                <w:b/>
                <w:bCs/>
                <w:color w:val="000000"/>
                <w:sz w:val="28"/>
                <w:szCs w:val="28"/>
              </w:rPr>
              <w:t>、投标有效期：</w:t>
            </w:r>
          </w:p>
          <w:p>
            <w:pPr>
              <w:spacing w:before="120" w:after="160"/>
              <w:ind w:firstLine="480"/>
              <w:jc w:val="left"/>
              <w:rPr>
                <w:rFonts w:ascii="仿宋" w:hAnsi="仿宋" w:eastAsia="仿宋"/>
                <w:color w:val="000000"/>
                <w:sz w:val="24"/>
                <w:szCs w:val="24"/>
              </w:rPr>
            </w:pPr>
            <w:r>
              <w:rPr>
                <w:rFonts w:asciiTheme="minorEastAsia" w:hAnsiTheme="minorEastAsia" w:eastAsiaTheme="minorEastAsia"/>
                <w:color w:val="000000"/>
                <w:sz w:val="24"/>
                <w:szCs w:val="24"/>
              </w:rPr>
              <w:t>投标文件将在投标文件递交截止后60天内有效。投标有效期不足的投标文件将被拒绝</w:t>
            </w:r>
            <w:r>
              <w:rPr>
                <w:rFonts w:ascii="仿宋" w:hAnsi="仿宋" w:eastAsia="仿宋"/>
                <w:color w:val="000000"/>
                <w:sz w:val="24"/>
                <w:szCs w:val="24"/>
              </w:rPr>
              <w:t>。</w:t>
            </w:r>
          </w:p>
          <w:p>
            <w:pPr>
              <w:spacing w:before="120" w:after="160"/>
              <w:jc w:val="left"/>
              <w:rPr>
                <w:rFonts w:ascii="仿宋" w:hAnsi="仿宋" w:eastAsia="仿宋"/>
                <w:b/>
                <w:bCs/>
                <w:color w:val="000000"/>
                <w:sz w:val="24"/>
                <w:szCs w:val="24"/>
              </w:rPr>
            </w:pPr>
          </w:p>
          <w:p>
            <w:pPr>
              <w:pStyle w:val="43"/>
              <w:numPr>
                <w:ilvl w:val="0"/>
                <w:numId w:val="2"/>
              </w:numPr>
              <w:spacing w:before="120" w:after="160"/>
              <w:jc w:val="left"/>
              <w:rPr>
                <w:rFonts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评标方法：</w:t>
            </w:r>
          </w:p>
          <w:p>
            <w:pPr>
              <w:spacing w:before="120" w:after="160"/>
              <w:ind w:firstLine="480" w:firstLineChars="200"/>
              <w:jc w:val="left"/>
              <w:rPr>
                <w:rFonts w:asciiTheme="minorEastAsia" w:hAnsiTheme="minorEastAsia" w:eastAsiaTheme="minorEastAsia"/>
                <w:color w:val="000000"/>
                <w:sz w:val="24"/>
                <w:szCs w:val="24"/>
              </w:rPr>
            </w:pPr>
            <w:r>
              <w:rPr>
                <w:rFonts w:hint="eastAsia" w:cs="宋体" w:asciiTheme="minorEastAsia" w:hAnsiTheme="minorEastAsia" w:eastAsiaTheme="minorEastAsia"/>
                <w:color w:val="FF0000"/>
                <w:sz w:val="24"/>
              </w:rPr>
              <w:t>最低价法。按照报价由低到高的顺序，报价</w:t>
            </w:r>
            <w:r>
              <w:rPr>
                <w:rFonts w:asciiTheme="minorEastAsia" w:hAnsiTheme="minorEastAsia" w:eastAsiaTheme="minorEastAsia"/>
                <w:color w:val="FF0000"/>
                <w:sz w:val="24"/>
              </w:rPr>
              <w:t>最低的</w:t>
            </w:r>
            <w:r>
              <w:rPr>
                <w:rFonts w:hint="eastAsia" w:asciiTheme="minorEastAsia" w:hAnsiTheme="minorEastAsia" w:eastAsiaTheme="minorEastAsia"/>
                <w:color w:val="FF0000"/>
                <w:sz w:val="24"/>
              </w:rPr>
              <w:t>投标人</w:t>
            </w:r>
            <w:r>
              <w:rPr>
                <w:rFonts w:asciiTheme="minorEastAsia" w:hAnsiTheme="minorEastAsia" w:eastAsiaTheme="minorEastAsia"/>
                <w:color w:val="FF0000"/>
                <w:sz w:val="24"/>
              </w:rPr>
              <w:t>投标文件</w:t>
            </w:r>
            <w:r>
              <w:rPr>
                <w:rFonts w:hint="eastAsia" w:asciiTheme="minorEastAsia" w:hAnsiTheme="minorEastAsia" w:eastAsiaTheme="minorEastAsia"/>
                <w:color w:val="FF0000"/>
                <w:sz w:val="24"/>
              </w:rPr>
              <w:t>完全满足招标文件的实质性要求，则推荐报价最低的投标人为候选中标投标人；</w:t>
            </w:r>
            <w:r>
              <w:rPr>
                <w:rFonts w:asciiTheme="minorEastAsia" w:hAnsiTheme="minorEastAsia" w:eastAsiaTheme="minorEastAsia"/>
                <w:color w:val="FF0000"/>
                <w:sz w:val="24"/>
              </w:rPr>
              <w:t>不能满足，则按序递推</w:t>
            </w:r>
            <w:r>
              <w:rPr>
                <w:rFonts w:hint="eastAsia" w:asciiTheme="minorEastAsia" w:hAnsiTheme="minorEastAsia" w:eastAsiaTheme="minorEastAsia"/>
                <w:color w:val="FF0000"/>
                <w:sz w:val="24"/>
              </w:rPr>
              <w:t>。当有2家或2家以上的投标人报价相同、且为最低价时，采用抽签的办法确定同为最低报价的投标人的排序。</w:t>
            </w:r>
          </w:p>
          <w:p>
            <w:pPr>
              <w:spacing w:before="120" w:after="160"/>
              <w:jc w:val="left"/>
              <w:rPr>
                <w:rFonts w:ascii="仿宋" w:hAnsi="仿宋" w:eastAsia="仿宋"/>
                <w:b/>
                <w:bCs/>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十</w:t>
            </w:r>
            <w:r>
              <w:rPr>
                <w:rFonts w:asciiTheme="minorEastAsia" w:hAnsiTheme="minorEastAsia" w:eastAsiaTheme="minorEastAsia"/>
                <w:b/>
                <w:bCs/>
                <w:color w:val="000000"/>
                <w:sz w:val="28"/>
                <w:szCs w:val="28"/>
              </w:rPr>
              <w:t>、投标文件的式样和签署：</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投标文件的封面应注明“项目名称、招标编号、投标人名称、投标日期等”；</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投标人应在每一份投标文件上编上页次，装订成册（不允许使用活页夹），每套投标文件须清楚地标明“正本”、“副本”。一旦正本和副本不符，以正本为准；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投标文件的[正本]封面均应由投标人加盖投标人法人公章；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除投标人对错处作必要修改外，投标文件中不许有加行、涂抹或改写。若有修改须由投标人授权代表在修正处签字；</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电报、电传、传真形式的投标概不接受。</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十一</w:t>
            </w:r>
            <w:r>
              <w:rPr>
                <w:rFonts w:asciiTheme="minorEastAsia" w:hAnsiTheme="minorEastAsia" w:eastAsiaTheme="minorEastAsia"/>
                <w:b/>
                <w:bCs/>
                <w:color w:val="000000"/>
                <w:sz w:val="28"/>
                <w:szCs w:val="28"/>
              </w:rPr>
              <w:t>、投标文件内容要求：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二</w:t>
            </w:r>
            <w:r>
              <w:rPr>
                <w:rFonts w:asciiTheme="minorEastAsia" w:hAnsiTheme="minorEastAsia" w:eastAsiaTheme="minorEastAsia"/>
                <w:b/>
                <w:bCs/>
                <w:color w:val="000000"/>
                <w:sz w:val="28"/>
                <w:szCs w:val="28"/>
              </w:rPr>
              <w:t>、包装密封要求：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三</w:t>
            </w:r>
            <w:r>
              <w:rPr>
                <w:rFonts w:asciiTheme="minorEastAsia" w:hAnsiTheme="minorEastAsia" w:eastAsiaTheme="minorEastAsia"/>
                <w:b/>
                <w:bCs/>
                <w:color w:val="000000"/>
                <w:sz w:val="28"/>
                <w:szCs w:val="28"/>
              </w:rPr>
              <w:t>、细微偏差修正：</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经评标委员会确认为通过初审的投标文件，若存在个别计算或累计方面的算术错误可视为投标文件存在细微偏差并按照以下原则进行修正：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1、用数字表示的数额与用文字表示的数额不一致时，以文字数额为准进行修正；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2、单价与工程量的乘积与合价不一致时，通常以单价为准。除非评标委员会认为单价有明显的小数点错位，此时应以合价为准，并修正单价；</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4、投标人对该投标有声明的，以该投标声明为准。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按照上述修正调整后的投标经投标人确认后，对投标人起约束作用。</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四</w:t>
            </w:r>
            <w:r>
              <w:rPr>
                <w:rFonts w:asciiTheme="minorEastAsia" w:hAnsiTheme="minorEastAsia" w:eastAsiaTheme="minorEastAsia"/>
                <w:b/>
                <w:bCs/>
                <w:color w:val="000000"/>
                <w:sz w:val="28"/>
                <w:szCs w:val="28"/>
              </w:rPr>
              <w:t>、施工主要材料参考品牌</w:t>
            </w: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7"/>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spacing w:line="400" w:lineRule="exact"/>
                    <w:jc w:val="center"/>
                    <w:rPr>
                      <w:rFonts w:ascii="宋体" w:hAnsi="宋体" w:cs="宋体"/>
                    </w:rPr>
                  </w:pPr>
                  <w:r>
                    <w:rPr>
                      <w:rFonts w:hint="eastAsia" w:ascii="宋体" w:hAnsi="宋体" w:cs="宋体"/>
                    </w:rPr>
                    <w:t>金属面油漆</w:t>
                  </w:r>
                </w:p>
              </w:tc>
              <w:tc>
                <w:tcPr>
                  <w:tcW w:w="3356" w:type="pct"/>
                  <w:vAlign w:val="center"/>
                </w:tcPr>
                <w:p>
                  <w:pPr>
                    <w:spacing w:line="400" w:lineRule="exact"/>
                    <w:rPr>
                      <w:rFonts w:ascii="宋体" w:hAnsi="宋体" w:cs="宋体"/>
                    </w:rPr>
                  </w:pPr>
                  <w:r>
                    <w:rPr>
                      <w:rFonts w:hint="eastAsia" w:ascii="宋体" w:hAnsi="宋体" w:cs="宋体"/>
                    </w:rPr>
                    <w:t>迪威尔油霸、嘉达高科JU2929G、立邦氟碳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2</w:t>
                  </w:r>
                </w:p>
              </w:tc>
              <w:tc>
                <w:tcPr>
                  <w:tcW w:w="1247"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1247"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1247"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hint="default" w:eastAsia="宋体" w:asciiTheme="minorEastAsia" w:hAnsiTheme="minorEastAsia"/>
                      <w:lang w:val="en-US" w:eastAsia="zh-CN"/>
                    </w:rPr>
                  </w:pPr>
                  <w:r>
                    <w:rPr>
                      <w:rFonts w:hint="eastAsia" w:asciiTheme="minorEastAsia" w:hAnsiTheme="minorEastAsia"/>
                    </w:rPr>
                    <w:t>施耐德、公牛、ABB、德力西</w:t>
                  </w:r>
                  <w:r>
                    <w:rPr>
                      <w:rFonts w:hint="eastAsia" w:eastAsia="宋体" w:asciiTheme="minorEastAsia" w:hAnsiTheme="minorEastAsia"/>
                      <w:lang w:eastAsia="zh-CN"/>
                    </w:rPr>
                    <w:t>、</w:t>
                  </w:r>
                  <w:r>
                    <w:rPr>
                      <w:rFonts w:hint="eastAsia" w:eastAsia="宋体" w:asciiTheme="minorEastAsia" w:hAnsiTheme="minorEastAsia"/>
                      <w:lang w:val="en-US" w:eastAsia="zh-CN"/>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5</w:t>
                  </w:r>
                </w:p>
              </w:tc>
              <w:tc>
                <w:tcPr>
                  <w:tcW w:w="1247"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bl>
          <w:p>
            <w:pPr>
              <w:spacing w:line="360" w:lineRule="auto"/>
              <w:ind w:firstLine="420" w:firstLineChars="200"/>
              <w:rPr>
                <w:rFonts w:ascii="Times New Roman"/>
                <w:b/>
              </w:rPr>
            </w:pPr>
          </w:p>
          <w:p>
            <w:pPr>
              <w:spacing w:line="360" w:lineRule="auto"/>
              <w:ind w:firstLine="420" w:firstLineChars="200"/>
              <w:rPr>
                <w:rFonts w:ascii="Times New Roman" w:hAnsi="Times New Roman" w:eastAsia="Times New Roman"/>
              </w:rPr>
            </w:pPr>
            <w:bookmarkStart w:id="30" w:name="_GoBack"/>
            <w:bookmarkEnd w:id="30"/>
            <w:r>
              <w:rPr>
                <w:rFonts w:ascii="Times New Roman"/>
                <w:b/>
              </w:rPr>
              <w:t>注：</w:t>
            </w:r>
            <w:r>
              <w:rPr>
                <w:rFonts w:ascii="Times New Roman"/>
                <w:b/>
                <w:color w:val="FF0000"/>
              </w:rPr>
              <w:t>工程所用不锈钢材统一为304不锈钢</w:t>
            </w:r>
            <w:r>
              <w:rPr>
                <w:rFonts w:ascii="Times New Roman"/>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五</w:t>
            </w:r>
            <w:r>
              <w:rPr>
                <w:rFonts w:asciiTheme="minorEastAsia" w:hAnsiTheme="minorEastAsia" w:eastAsiaTheme="minorEastAsia"/>
                <w:b/>
                <w:bCs/>
                <w:color w:val="000000"/>
                <w:sz w:val="28"/>
                <w:szCs w:val="28"/>
              </w:rPr>
              <w:t>、招标人会同采购方接受或拒绝任何投标或所有投标的权利：</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出现下列任何一种情形，招标人和采购方保留拒绝任何投标以及宣布招标程序无效的权力：</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1、递交投标文件的投标人或者对投标文件作实质性响应的投标人不足三家的；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2、出现影响采购公正的违法、违规行为的；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六</w:t>
            </w:r>
            <w:r>
              <w:rPr>
                <w:rFonts w:asciiTheme="minorEastAsia" w:hAnsiTheme="minorEastAsia" w:eastAsiaTheme="minorEastAsia"/>
                <w:b/>
                <w:bCs/>
                <w:color w:val="000000"/>
                <w:sz w:val="28"/>
                <w:szCs w:val="28"/>
              </w:rPr>
              <w:t xml:space="preserve">、质疑： </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提出质疑的投标人应保证提出质疑内容及相应证明材料的真实性及来源的合法性，并承担相应的法律责任。</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属以下情况之一者，为不合格质疑或投诉，不予受理：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1、质疑人不是该项目的投标人；</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2、质疑投诉文件无合格签字及盖章的；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3、质疑投诉文件无明确质疑对象或内容的；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4、未提供详实有效的证明材料；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5、质疑投诉人多次提供虚假情况的；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　　6、非在公示期内送达的； </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8" w:name="_Toc82421281"/>
            <w:bookmarkStart w:id="9" w:name="_Toc82421174"/>
            <w:r>
              <w:rPr>
                <w:rFonts w:hint="eastAsia" w:asciiTheme="minorEastAsia" w:hAnsiTheme="minorEastAsia" w:eastAsiaTheme="minorEastAsia"/>
                <w:b/>
                <w:bCs/>
                <w:sz w:val="28"/>
                <w:szCs w:val="28"/>
              </w:rPr>
              <w:t>十七</w:t>
            </w:r>
            <w:r>
              <w:rPr>
                <w:rFonts w:asciiTheme="minorEastAsia" w:hAnsiTheme="minorEastAsia" w:eastAsiaTheme="minorEastAsia"/>
                <w:b/>
                <w:bCs/>
                <w:sz w:val="28"/>
                <w:szCs w:val="28"/>
              </w:rPr>
              <w:t>、注意事项</w:t>
            </w:r>
            <w:bookmarkEnd w:id="8"/>
            <w:bookmarkEnd w:id="9"/>
          </w:p>
          <w:p>
            <w:pPr>
              <w:adjustRightInd w:val="0"/>
              <w:snapToGrid w:val="0"/>
              <w:spacing w:line="360" w:lineRule="auto"/>
              <w:ind w:firstLine="392" w:firstLineChars="187"/>
              <w:jc w:val="left"/>
              <w:rPr>
                <w:color w:val="000000"/>
              </w:rPr>
            </w:pPr>
            <w:r>
              <w:rPr>
                <w:color w:val="000000"/>
              </w:rPr>
              <w:t>1、中标人不得将项目非法分包或转包给任何单位和个人。否则，</w:t>
            </w:r>
            <w:r>
              <w:rPr>
                <w:rFonts w:hint="eastAsia" w:ascii="宋体" w:hAnsi="宋体" w:eastAsia="宋体" w:cs="宋体"/>
                <w:color w:val="000000"/>
              </w:rPr>
              <w:t>采购方</w:t>
            </w:r>
            <w:r>
              <w:rPr>
                <w:color w:val="000000"/>
              </w:rPr>
              <w:t>有权即刻终止合同，并要求中标人赔偿相应损失。</w:t>
            </w:r>
          </w:p>
          <w:p>
            <w:pPr>
              <w:adjustRightInd w:val="0"/>
              <w:snapToGrid w:val="0"/>
              <w:spacing w:line="360" w:lineRule="auto"/>
              <w:ind w:firstLine="392" w:firstLineChars="187"/>
              <w:jc w:val="left"/>
              <w:rPr>
                <w:color w:val="000000"/>
              </w:rPr>
            </w:pPr>
            <w:r>
              <w:rPr>
                <w:color w:val="000000"/>
              </w:rPr>
              <w:t>2、投标人若认为招标文件的技术要求或其他要求有倾向性或不公正性，可在招标答疑阶段提出，以维护招标行为的公平、公正。</w:t>
            </w:r>
          </w:p>
          <w:p>
            <w:pPr>
              <w:adjustRightInd w:val="0"/>
              <w:snapToGrid w:val="0"/>
              <w:spacing w:line="360" w:lineRule="auto"/>
              <w:ind w:firstLine="392" w:firstLineChars="187"/>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pPr>
              <w:adjustRightInd w:val="0"/>
              <w:snapToGrid w:val="0"/>
              <w:spacing w:line="360" w:lineRule="auto"/>
              <w:ind w:firstLine="393" w:firstLineChars="187"/>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pPr>
              <w:adjustRightInd w:val="0"/>
              <w:snapToGrid w:val="0"/>
              <w:spacing w:line="360" w:lineRule="auto"/>
              <w:ind w:firstLine="526" w:firstLineChars="187"/>
              <w:jc w:val="left"/>
              <w:rPr>
                <w:rFonts w:ascii="宋体" w:hAnsi="宋体" w:eastAsia="宋体" w:cs="宋体"/>
                <w:b/>
                <w:color w:val="000000"/>
                <w:sz w:val="28"/>
                <w:szCs w:val="28"/>
              </w:rPr>
            </w:pPr>
          </w:p>
          <w:p>
            <w:pPr>
              <w:numPr>
                <w:ilvl w:val="0"/>
                <w:numId w:val="3"/>
              </w:numPr>
              <w:adjustRightInd w:val="0"/>
              <w:snapToGrid w:val="0"/>
              <w:spacing w:line="360" w:lineRule="auto"/>
              <w:jc w:val="left"/>
              <w:rPr>
                <w:rFonts w:ascii="宋体" w:hAnsi="宋体" w:eastAsia="宋体" w:cs="宋体"/>
                <w:b/>
                <w:color w:val="000000"/>
                <w:sz w:val="28"/>
                <w:szCs w:val="28"/>
              </w:rPr>
            </w:pPr>
            <w:r>
              <w:rPr>
                <w:rFonts w:hint="eastAsia" w:ascii="宋体" w:hAnsi="宋体" w:eastAsia="宋体" w:cs="宋体"/>
                <w:b/>
                <w:color w:val="000000"/>
                <w:sz w:val="28"/>
                <w:szCs w:val="28"/>
              </w:rPr>
              <w:t>成交通知</w:t>
            </w:r>
          </w:p>
          <w:p>
            <w:pPr>
              <w:numPr>
                <w:ilvl w:val="0"/>
                <w:numId w:val="4"/>
              </w:numPr>
              <w:spacing w:line="360" w:lineRule="auto"/>
              <w:rPr>
                <w:rFonts w:ascii="宋体" w:hAnsi="宋体" w:eastAsia="宋体" w:cs="宋体"/>
                <w:sz w:val="24"/>
                <w:szCs w:val="24"/>
              </w:rPr>
            </w:pPr>
            <w:r>
              <w:rPr>
                <w:rFonts w:hint="eastAsia" w:ascii="宋体" w:hAnsi="宋体" w:eastAsia="宋体" w:cs="宋体"/>
                <w:bCs/>
                <w:color w:val="000000"/>
                <w:sz w:val="24"/>
                <w:szCs w:val="24"/>
              </w:rPr>
              <w:t>采购信息公开</w:t>
            </w:r>
          </w:p>
          <w:p>
            <w:pPr>
              <w:ind w:firstLine="710" w:firstLineChars="296"/>
              <w:rPr>
                <w:rFonts w:ascii="宋体" w:hAnsi="宋体" w:eastAsia="宋体" w:cs="宋体"/>
                <w:sz w:val="24"/>
                <w:szCs w:val="24"/>
              </w:rPr>
            </w:pPr>
            <w:r>
              <w:rPr>
                <w:rFonts w:hint="eastAsia" w:ascii="宋体" w:hAnsi="宋体" w:eastAsia="宋体" w:cs="宋体"/>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ind w:firstLine="470" w:firstLineChars="196"/>
              <w:rPr>
                <w:rFonts w:ascii="宋体" w:hAnsi="宋体" w:eastAsia="宋体" w:cs="宋体"/>
                <w:sz w:val="24"/>
                <w:szCs w:val="24"/>
              </w:rPr>
            </w:pPr>
            <w:r>
              <w:rPr>
                <w:rFonts w:hint="eastAsia" w:ascii="宋体" w:hAnsi="宋体" w:eastAsia="宋体" w:cs="宋体"/>
                <w:sz w:val="24"/>
                <w:szCs w:val="24"/>
              </w:rPr>
              <w:t>2、质疑投诉人应保证质疑投诉内容的真实性和可靠性，并承担相应的法律责任。</w:t>
            </w:r>
          </w:p>
          <w:p>
            <w:pPr>
              <w:numPr>
                <w:ilvl w:val="0"/>
                <w:numId w:val="4"/>
              </w:numPr>
              <w:spacing w:line="360" w:lineRule="auto"/>
              <w:rPr>
                <w:rFonts w:ascii="宋体" w:hAnsi="宋体" w:eastAsia="宋体" w:cs="宋体"/>
                <w:sz w:val="24"/>
                <w:szCs w:val="24"/>
              </w:rPr>
            </w:pPr>
            <w:r>
              <w:rPr>
                <w:rFonts w:hint="eastAsia" w:ascii="宋体" w:hAnsi="宋体" w:eastAsia="宋体" w:cs="宋体"/>
                <w:sz w:val="24"/>
                <w:szCs w:val="24"/>
              </w:rPr>
              <w:t>成交通知书</w:t>
            </w:r>
          </w:p>
          <w:p>
            <w:pPr>
              <w:ind w:firstLine="470" w:firstLineChars="196"/>
              <w:rPr>
                <w:rFonts w:ascii="宋体" w:hAnsi="宋体" w:eastAsia="宋体" w:cs="宋体"/>
                <w:sz w:val="24"/>
                <w:szCs w:val="24"/>
              </w:rPr>
            </w:pPr>
            <w:r>
              <w:rPr>
                <w:rFonts w:hint="eastAsia" w:ascii="宋体" w:hAnsi="宋体" w:eastAsia="宋体" w:cs="宋体"/>
                <w:sz w:val="24"/>
                <w:szCs w:val="24"/>
              </w:rPr>
              <w:t>1、采购信息公示结束以后,在公示期内无有效质疑投诉,中标投标人可到招标人处领取《成交通知书》（咨询电话：0755-26958911，地点：</w:t>
            </w:r>
            <w:r>
              <w:rPr>
                <w:rFonts w:hint="eastAsia" w:ascii="宋体" w:hAnsi="宋体" w:eastAsia="宋体" w:cs="宋体"/>
                <w:color w:val="000000"/>
                <w:sz w:val="24"/>
                <w:szCs w:val="24"/>
              </w:rPr>
              <w:t>深圳大学后勤楼501室内，联系人：刘老师</w:t>
            </w:r>
            <w:r>
              <w:rPr>
                <w:rFonts w:hint="eastAsia" w:ascii="宋体" w:hAnsi="宋体" w:eastAsia="宋体" w:cs="宋体"/>
                <w:sz w:val="24"/>
                <w:szCs w:val="24"/>
              </w:rPr>
              <w:t>）。</w:t>
            </w:r>
          </w:p>
          <w:p>
            <w:pPr>
              <w:ind w:firstLine="470" w:firstLineChars="196"/>
              <w:rPr>
                <w:rFonts w:ascii="宋体" w:hAnsi="宋体" w:eastAsia="宋体" w:cs="宋体"/>
                <w:sz w:val="24"/>
                <w:szCs w:val="24"/>
              </w:rPr>
            </w:pPr>
            <w:r>
              <w:rPr>
                <w:rFonts w:hint="eastAsia" w:ascii="宋体" w:hAnsi="宋体" w:eastAsia="宋体" w:cs="宋体"/>
                <w:sz w:val="24"/>
                <w:szCs w:val="24"/>
              </w:rPr>
              <w:t>2、成交通知书是合同的重要组成部分。</w:t>
            </w:r>
          </w:p>
          <w:p>
            <w:pPr>
              <w:ind w:firstLine="470" w:firstLineChars="196"/>
              <w:rPr>
                <w:rFonts w:ascii="宋体" w:hAnsi="宋体" w:eastAsia="宋体" w:cs="宋体"/>
                <w:sz w:val="24"/>
                <w:szCs w:val="24"/>
              </w:rPr>
            </w:pPr>
            <w:r>
              <w:rPr>
                <w:rFonts w:hint="eastAsia" w:ascii="宋体" w:hAnsi="宋体" w:eastAsia="宋体" w:cs="宋体"/>
                <w:sz w:val="24"/>
                <w:szCs w:val="24"/>
              </w:rPr>
              <w:t>3、因质疑投诉或其它原因导致项目结果变更或采购终止的，招标人有权吊销成交通知书或终止采购合同。</w:t>
            </w:r>
          </w:p>
          <w:p>
            <w:pPr>
              <w:ind w:firstLine="470" w:firstLineChars="196"/>
              <w:rPr>
                <w:rFonts w:ascii="宋体" w:hAnsi="宋体" w:eastAsia="宋体" w:cs="宋体"/>
                <w:sz w:val="24"/>
                <w:szCs w:val="24"/>
              </w:rPr>
            </w:pPr>
          </w:p>
          <w:p>
            <w:pPr>
              <w:numPr>
                <w:ilvl w:val="0"/>
                <w:numId w:val="3"/>
              </w:numPr>
              <w:rPr>
                <w:rFonts w:ascii="宋体" w:hAnsi="宋体" w:eastAsia="宋体" w:cs="宋体"/>
                <w:b/>
                <w:bCs/>
                <w:color w:val="000000"/>
                <w:sz w:val="28"/>
                <w:szCs w:val="28"/>
              </w:rPr>
            </w:pPr>
            <w:r>
              <w:rPr>
                <w:rFonts w:hint="eastAsia" w:ascii="宋体" w:hAnsi="宋体" w:eastAsia="宋体" w:cs="宋体"/>
                <w:b/>
                <w:bCs/>
                <w:color w:val="000000"/>
                <w:sz w:val="28"/>
                <w:szCs w:val="28"/>
              </w:rPr>
              <w:t>合同签订与授予</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合同授予标准</w:t>
            </w:r>
          </w:p>
          <w:p>
            <w:pPr>
              <w:ind w:firstLine="470" w:firstLineChars="196"/>
              <w:rPr>
                <w:rFonts w:ascii="宋体" w:hAnsi="宋体" w:eastAsia="宋体" w:cs="宋体"/>
                <w:sz w:val="24"/>
                <w:szCs w:val="24"/>
              </w:rPr>
            </w:pPr>
            <w:r>
              <w:rPr>
                <w:rFonts w:hint="eastAsia" w:ascii="宋体" w:hAnsi="宋体" w:eastAsia="宋体" w:cs="宋体"/>
                <w:sz w:val="24"/>
                <w:szCs w:val="24"/>
              </w:rPr>
              <w:t>本项目的合同将授予按本招标文件规定评审确定的中标人。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接受和拒绝任何或所有投标的权力</w:t>
            </w:r>
          </w:p>
          <w:p>
            <w:pPr>
              <w:ind w:firstLine="470" w:firstLineChars="196"/>
              <w:rPr>
                <w:rFonts w:ascii="宋体" w:hAnsi="宋体" w:eastAsia="宋体" w:cs="宋体"/>
                <w:sz w:val="24"/>
                <w:szCs w:val="24"/>
              </w:rPr>
            </w:pPr>
            <w:r>
              <w:rPr>
                <w:rFonts w:hint="eastAsia" w:ascii="宋体" w:hAnsi="宋体" w:eastAsia="宋体" w:cs="宋体"/>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合同协议书的签订</w:t>
            </w:r>
          </w:p>
          <w:p>
            <w:pPr>
              <w:ind w:firstLine="470" w:firstLineChars="196"/>
              <w:rPr>
                <w:rFonts w:ascii="宋体" w:hAnsi="宋体" w:eastAsia="宋体" w:cs="宋体"/>
                <w:sz w:val="24"/>
                <w:szCs w:val="24"/>
              </w:rPr>
            </w:pPr>
            <w:r>
              <w:rPr>
                <w:rFonts w:hint="eastAsia" w:ascii="宋体" w:hAnsi="宋体" w:eastAsia="宋体" w:cs="宋体"/>
                <w:sz w:val="24"/>
                <w:szCs w:val="24"/>
              </w:rPr>
              <w:t>1中标人将于成交通知书发出之日起十个工作日内，按照采购文件（招标文件和投标文件等）内容与采购人签订采购合同；合同的实质性内容应当符合招标文件的规定。</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2中标人如不按规定与采购人签订合同，招标人将有充分的理由取消中标人的中标，并计入供应商诚信档案。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3中标人应当按照合同约定履行义务，完成中标项目，不得将中标项目转让（转包）给他人。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合同的备案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采购人与中标人应于合同签订之日起十日内，由采购人将本项目采购文件与采购合同提交学校招投标管理中心备案。</w:t>
            </w:r>
          </w:p>
          <w:p>
            <w:pPr>
              <w:numPr>
                <w:ilvl w:val="0"/>
                <w:numId w:val="5"/>
              </w:numPr>
              <w:spacing w:line="0" w:lineRule="atLeast"/>
              <w:rPr>
                <w:rFonts w:ascii="宋体" w:hAnsi="宋体" w:eastAsia="宋体" w:cs="宋体"/>
                <w:sz w:val="24"/>
                <w:szCs w:val="24"/>
              </w:rPr>
            </w:pPr>
            <w:r>
              <w:rPr>
                <w:rFonts w:hint="eastAsia" w:ascii="宋体" w:hAnsi="宋体" w:eastAsia="宋体" w:cs="宋体"/>
                <w:sz w:val="24"/>
                <w:szCs w:val="24"/>
              </w:rPr>
              <w:t>项目将严格按照《深圳大学履约验收管理办法》有关要求进行履约验收。</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履约情况的反馈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rPr>
                <w:rFonts w:ascii="宋体" w:hAnsi="宋体" w:eastAsia="宋体" w:cs="宋体"/>
                <w:b/>
                <w:bCs/>
                <w:color w:val="000000"/>
                <w:sz w:val="28"/>
                <w:szCs w:val="28"/>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0" w:name="_Toc29817725"/>
      <w:bookmarkStart w:id="11" w:name="_Toc37670362"/>
      <w:bookmarkStart w:id="12" w:name="_Toc49329264"/>
      <w:bookmarkStart w:id="1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0"/>
      <w:bookmarkEnd w:id="11"/>
      <w:bookmarkEnd w:id="12"/>
      <w:r>
        <w:rPr>
          <w:rFonts w:ascii="黑体" w:hAnsi="黑体" w:eastAsia="黑体"/>
          <w:color w:val="000000"/>
          <w:sz w:val="36"/>
          <w:szCs w:val="36"/>
        </w:rPr>
        <w:t>目录</w:t>
      </w:r>
      <w:bookmarkEnd w:id="1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 xml:space="preserve">第一部分  </w:t>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6"/>
        </w:numPr>
        <w:tabs>
          <w:tab w:val="left" w:pos="540"/>
          <w:tab w:val="left" w:pos="1260"/>
        </w:tabs>
        <w:spacing w:after="160" w:line="360" w:lineRule="auto"/>
        <w:ind w:left="1260" w:hanging="720"/>
        <w:rPr>
          <w:rFonts w:hAnsi="宋体" w:eastAsia="宋体"/>
          <w:color w:val="000000"/>
          <w:sz w:val="28"/>
          <w:szCs w:val="28"/>
          <w:highlight w:val="yellow"/>
        </w:rPr>
      </w:pPr>
      <w:r>
        <w:rPr>
          <w:rFonts w:hint="eastAsia" w:asciiTheme="minorEastAsia" w:hAnsiTheme="minorEastAsia" w:eastAsiaTheme="minorEastAsia" w:cstheme="minorEastAsia"/>
          <w:sz w:val="28"/>
          <w:szCs w:val="28"/>
          <w:highlight w:val="yellow"/>
        </w:rPr>
        <w:t>拟采用材料品牌型号表</w:t>
      </w: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第二部分 资格性文件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numPr>
          <w:ilvl w:val="0"/>
          <w:numId w:val="7"/>
        </w:numPr>
        <w:tabs>
          <w:tab w:val="left" w:pos="540"/>
          <w:tab w:val="clear" w:pos="312"/>
        </w:tabs>
        <w:spacing w:after="160" w:line="360" w:lineRule="auto"/>
        <w:ind w:firstLine="560"/>
        <w:rPr>
          <w:rFonts w:hAnsi="宋体" w:eastAsia="宋体"/>
          <w:color w:val="000000"/>
          <w:sz w:val="28"/>
          <w:szCs w:val="28"/>
        </w:rPr>
      </w:pPr>
      <w:r>
        <w:rPr>
          <w:rFonts w:hint="eastAsia" w:hAnsi="宋体" w:eastAsia="宋体"/>
          <w:color w:val="000000"/>
          <w:sz w:val="28"/>
          <w:szCs w:val="28"/>
        </w:rPr>
        <w:t>2投标承诺函</w:t>
      </w:r>
    </w:p>
    <w:p>
      <w:pPr>
        <w:tabs>
          <w:tab w:val="left" w:pos="540"/>
        </w:tabs>
        <w:spacing w:after="160" w:line="360" w:lineRule="auto"/>
        <w:ind w:firstLine="560" w:firstLineChars="20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7"/>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8"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1"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14:textFill>
            <w14:solidFill>
              <w14:schemeClr w14:val="tx1"/>
            </w14:solidFill>
          </w14:textFill>
        </w:rPr>
      </w:pPr>
      <w:r>
        <w:rPr>
          <w:rFonts w:hint="eastAsia"/>
          <w:color w:val="000000" w:themeColor="text1"/>
          <w:sz w:val="30"/>
          <w:szCs w:val="30"/>
          <w14:textFill>
            <w14:solidFill>
              <w14:schemeClr w14:val="tx1"/>
            </w14:solidFill>
          </w14:textFill>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14:textFill>
            <w14:solidFill>
              <w14:schemeClr w14:val="tx1"/>
            </w14:solidFill>
          </w14:textFill>
        </w:rPr>
        <w:t>但</w:t>
      </w:r>
      <w:r>
        <w:rPr>
          <w:rFonts w:hint="eastAsia"/>
          <w:b/>
          <w:color w:val="0066FF"/>
          <w:sz w:val="30"/>
          <w:szCs w:val="30"/>
        </w:rPr>
        <w:t>税金</w:t>
      </w:r>
      <w:r>
        <w:rPr>
          <w:rFonts w:hint="eastAsia"/>
          <w:color w:val="000000" w:themeColor="text1"/>
          <w:sz w:val="30"/>
          <w:szCs w:val="30"/>
          <w14:textFill>
            <w14:solidFill>
              <w14:schemeClr w14:val="tx1"/>
            </w14:solidFill>
          </w14:textFill>
        </w:rPr>
        <w:t>必须列出（依据《深圳市建设工程造价管理站关于调整深圳市建设工程计价费率标准增值税综合应纳税费率的通知【</w:t>
      </w:r>
      <w:r>
        <w:rPr>
          <w:color w:val="000000" w:themeColor="text1"/>
          <w:sz w:val="30"/>
          <w:szCs w:val="30"/>
          <w14:textFill>
            <w14:solidFill>
              <w14:schemeClr w14:val="tx1"/>
            </w14:solidFill>
          </w14:textFill>
        </w:rPr>
        <w:t>2018</w:t>
      </w:r>
      <w:r>
        <w:rPr>
          <w:rFonts w:hint="eastAsia"/>
          <w:color w:val="000000" w:themeColor="text1"/>
          <w:sz w:val="30"/>
          <w:szCs w:val="30"/>
          <w14:textFill>
            <w14:solidFill>
              <w14:schemeClr w14:val="tx1"/>
            </w14:solidFill>
          </w14:textFill>
        </w:rPr>
        <w:t>】</w:t>
      </w:r>
      <w:r>
        <w:rPr>
          <w:color w:val="000000" w:themeColor="text1"/>
          <w:sz w:val="30"/>
          <w:szCs w:val="30"/>
          <w14:textFill>
            <w14:solidFill>
              <w14:schemeClr w14:val="tx1"/>
            </w14:solidFill>
          </w14:textFill>
        </w:rPr>
        <w:t>21</w:t>
      </w:r>
      <w:r>
        <w:rPr>
          <w:rFonts w:hint="eastAsia"/>
          <w:color w:val="000000" w:themeColor="text1"/>
          <w:sz w:val="30"/>
          <w:szCs w:val="30"/>
          <w14:textFill>
            <w14:solidFill>
              <w14:schemeClr w14:val="tx1"/>
            </w14:solidFill>
          </w14:textFill>
        </w:rPr>
        <w:t>号》，增值税应纳税额税（费）率以</w:t>
      </w:r>
      <w:r>
        <w:rPr>
          <w:b/>
          <w:color w:val="FF0000"/>
          <w:sz w:val="30"/>
          <w:szCs w:val="30"/>
        </w:rPr>
        <w:t>3.14%</w:t>
      </w:r>
      <w:r>
        <w:rPr>
          <w:rFonts w:hint="eastAsia"/>
          <w:color w:val="000000" w:themeColor="text1"/>
          <w:sz w:val="30"/>
          <w:szCs w:val="30"/>
          <w14:textFill>
            <w14:solidFill>
              <w14:schemeClr w14:val="tx1"/>
            </w14:solidFill>
          </w14:textFill>
        </w:rPr>
        <w:t>计算，城市维护建设税、教育费附加及地方教育费附加税（费）率以</w:t>
      </w:r>
      <w:r>
        <w:rPr>
          <w:b/>
          <w:color w:val="FF0000"/>
          <w:sz w:val="30"/>
          <w:szCs w:val="30"/>
        </w:rPr>
        <w:t>12%</w:t>
      </w:r>
      <w:r>
        <w:rPr>
          <w:rFonts w:hint="eastAsia"/>
          <w:color w:val="000000" w:themeColor="text1"/>
          <w:sz w:val="30"/>
          <w:szCs w:val="30"/>
          <w14:textFill>
            <w14:solidFill>
              <w14:schemeClr w14:val="tx1"/>
            </w14:solidFill>
          </w14:textFill>
        </w:rPr>
        <w:t>计算，</w:t>
      </w:r>
      <w:r>
        <w:rPr>
          <w:rFonts w:hint="eastAsia"/>
          <w:b/>
          <w:color w:val="FF0000"/>
          <w:sz w:val="30"/>
          <w:szCs w:val="30"/>
        </w:rPr>
        <w:t>需严格按照此税（费）率计算单位工程费</w:t>
      </w:r>
      <w:r>
        <w:rPr>
          <w:rFonts w:hint="eastAsia"/>
          <w:color w:val="000000" w:themeColor="text1"/>
          <w:sz w:val="30"/>
          <w:szCs w:val="30"/>
          <w14:textFill>
            <w14:solidFill>
              <w14:schemeClr w14:val="tx1"/>
            </w14:solidFill>
          </w14:textFill>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14" w:name="_Toc119321151"/>
      <w:r>
        <w:rPr>
          <w:rFonts w:ascii="华文新魏" w:hAnsi="华文新魏" w:eastAsia="华文新魏"/>
          <w:b/>
          <w:sz w:val="48"/>
          <w:szCs w:val="48"/>
        </w:rPr>
        <w:t>分部分项工程量清单计价表</w:t>
      </w:r>
    </w:p>
    <w:tbl>
      <w:tblPr>
        <w:tblStyle w:val="27"/>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spacing w:after="160"/>
        <w:jc w:val="left"/>
        <w:rPr>
          <w:rFonts w:ascii="黑体" w:eastAsia="黑体"/>
          <w:b/>
          <w:sz w:val="24"/>
        </w:rPr>
      </w:pPr>
      <w:r>
        <w:br w:type="page"/>
      </w: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8"/>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品牌、</w:t>
            </w:r>
            <w:r>
              <w:rPr>
                <w:rFonts w:ascii="宋体" w:hAnsi="宋体" w:cs="宋体"/>
                <w:color w:val="000000"/>
                <w:sz w:val="20"/>
                <w:szCs w:val="20"/>
              </w:rPr>
              <w:t>规格、型号</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hAnsi="宋体"/>
          <w:color w:val="FF0000"/>
          <w:sz w:val="28"/>
          <w:szCs w:val="30"/>
        </w:rPr>
        <w:t>备注：分部分项工程量清单与计价表、主要材料参考品牌中</w:t>
      </w:r>
      <w:r>
        <w:rPr>
          <w:rFonts w:hAnsi="宋体"/>
          <w:color w:val="FF0000"/>
          <w:sz w:val="28"/>
          <w:szCs w:val="30"/>
        </w:rPr>
        <w:t>出现的材料品牌都</w:t>
      </w:r>
      <w:r>
        <w:rPr>
          <w:rFonts w:hint="eastAsia" w:hAnsi="宋体"/>
          <w:color w:val="FF0000"/>
          <w:sz w:val="28"/>
          <w:szCs w:val="30"/>
        </w:rPr>
        <w:t>均为</w:t>
      </w:r>
      <w:r>
        <w:rPr>
          <w:rFonts w:hAnsi="宋体"/>
          <w:color w:val="FF0000"/>
          <w:sz w:val="28"/>
          <w:szCs w:val="30"/>
        </w:rPr>
        <w:t>参考品牌，不</w:t>
      </w:r>
      <w:r>
        <w:rPr>
          <w:rFonts w:hint="eastAsia" w:hAnsi="宋体"/>
          <w:color w:val="FF0000"/>
          <w:sz w:val="28"/>
          <w:szCs w:val="30"/>
        </w:rPr>
        <w:t>作为</w:t>
      </w:r>
      <w:r>
        <w:rPr>
          <w:rFonts w:hAnsi="宋体"/>
          <w:color w:val="FF0000"/>
          <w:sz w:val="28"/>
          <w:szCs w:val="30"/>
        </w:rPr>
        <w:t>对</w:t>
      </w:r>
      <w:r>
        <w:rPr>
          <w:rFonts w:hint="eastAsia" w:hAnsi="宋体" w:eastAsia="宋体"/>
          <w:color w:val="FF0000"/>
          <w:sz w:val="28"/>
          <w:szCs w:val="30"/>
        </w:rPr>
        <w:t>投标人</w:t>
      </w:r>
      <w:r>
        <w:rPr>
          <w:rFonts w:hAnsi="宋体"/>
          <w:color w:val="FF0000"/>
          <w:sz w:val="28"/>
          <w:szCs w:val="30"/>
        </w:rPr>
        <w:t>投标采用材料品牌的限制</w:t>
      </w:r>
      <w:r>
        <w:rPr>
          <w:rFonts w:hint="eastAsia" w:hAnsi="宋体"/>
          <w:color w:val="FF0000"/>
          <w:sz w:val="28"/>
          <w:szCs w:val="30"/>
        </w:rPr>
        <w:t>，</w:t>
      </w:r>
      <w:r>
        <w:rPr>
          <w:rFonts w:hAnsi="宋体"/>
          <w:color w:val="FF0000"/>
          <w:sz w:val="28"/>
          <w:szCs w:val="30"/>
        </w:rPr>
        <w:t>仅作为衡量</w:t>
      </w:r>
      <w:r>
        <w:rPr>
          <w:rFonts w:hint="eastAsia" w:hAnsi="宋体" w:eastAsia="宋体"/>
          <w:color w:val="FF0000"/>
          <w:sz w:val="28"/>
          <w:szCs w:val="30"/>
        </w:rPr>
        <w:t>投标人</w:t>
      </w:r>
      <w:r>
        <w:rPr>
          <w:rFonts w:hAnsi="宋体"/>
          <w:color w:val="FF0000"/>
          <w:sz w:val="28"/>
          <w:szCs w:val="30"/>
        </w:rPr>
        <w:t>投标采用材料</w:t>
      </w:r>
      <w:r>
        <w:rPr>
          <w:rFonts w:hint="eastAsia" w:hAnsi="宋体"/>
          <w:color w:val="FF0000"/>
          <w:sz w:val="28"/>
          <w:szCs w:val="30"/>
        </w:rPr>
        <w:t>品质是否</w:t>
      </w:r>
      <w:r>
        <w:rPr>
          <w:rFonts w:hAnsi="宋体"/>
          <w:color w:val="FF0000"/>
          <w:sz w:val="28"/>
          <w:szCs w:val="30"/>
        </w:rPr>
        <w:t>满足</w:t>
      </w:r>
      <w:r>
        <w:rPr>
          <w:rFonts w:hint="eastAsia" w:hAnsi="宋体"/>
          <w:color w:val="FF0000"/>
          <w:sz w:val="28"/>
          <w:szCs w:val="30"/>
        </w:rPr>
        <w:t>采购</w:t>
      </w:r>
      <w:r>
        <w:rPr>
          <w:rFonts w:hAnsi="宋体"/>
          <w:color w:val="FF0000"/>
          <w:sz w:val="28"/>
          <w:szCs w:val="30"/>
        </w:rPr>
        <w:t>要求的标准</w:t>
      </w:r>
      <w:r>
        <w:rPr>
          <w:rFonts w:hint="eastAsia" w:hAnsi="宋体"/>
          <w:color w:val="FF0000"/>
          <w:sz w:val="28"/>
          <w:szCs w:val="30"/>
        </w:rPr>
        <w:t>，</w:t>
      </w:r>
      <w:r>
        <w:rPr>
          <w:rFonts w:hint="eastAsia" w:hAnsi="宋体" w:eastAsia="宋体"/>
          <w:color w:val="FF0000"/>
          <w:sz w:val="28"/>
          <w:szCs w:val="30"/>
        </w:rPr>
        <w:t>投标人</w:t>
      </w:r>
      <w:r>
        <w:rPr>
          <w:rFonts w:hint="eastAsia" w:hAnsi="宋体"/>
          <w:color w:val="FF0000"/>
          <w:sz w:val="28"/>
          <w:szCs w:val="30"/>
        </w:rPr>
        <w:t>拟</w:t>
      </w:r>
      <w:r>
        <w:rPr>
          <w:rFonts w:hAnsi="宋体"/>
          <w:color w:val="FF0000"/>
          <w:sz w:val="28"/>
          <w:szCs w:val="30"/>
        </w:rPr>
        <w:t>采用材料</w:t>
      </w:r>
      <w:r>
        <w:rPr>
          <w:rFonts w:hint="eastAsia" w:hAnsi="宋体"/>
          <w:color w:val="FF0000"/>
          <w:sz w:val="28"/>
          <w:szCs w:val="30"/>
        </w:rPr>
        <w:t>的</w:t>
      </w:r>
      <w:r>
        <w:rPr>
          <w:rFonts w:hAnsi="宋体"/>
          <w:color w:val="FF0000"/>
          <w:sz w:val="28"/>
          <w:szCs w:val="30"/>
        </w:rPr>
        <w:t>品质须</w:t>
      </w:r>
      <w:r>
        <w:rPr>
          <w:rFonts w:hint="eastAsia" w:hAnsi="宋体"/>
          <w:color w:val="FF0000"/>
          <w:sz w:val="28"/>
          <w:szCs w:val="30"/>
        </w:rPr>
        <w:t>与</w:t>
      </w:r>
      <w:r>
        <w:rPr>
          <w:rFonts w:hAnsi="宋体"/>
          <w:color w:val="FF0000"/>
          <w:sz w:val="28"/>
          <w:szCs w:val="30"/>
        </w:rPr>
        <w:t>招标文件参考品牌相</w:t>
      </w:r>
      <w:r>
        <w:rPr>
          <w:rFonts w:hint="eastAsia" w:hAnsi="宋体"/>
          <w:color w:val="FF0000"/>
          <w:sz w:val="28"/>
          <w:szCs w:val="30"/>
        </w:rPr>
        <w:t>当</w:t>
      </w:r>
      <w:r>
        <w:rPr>
          <w:rFonts w:hAnsi="宋体"/>
          <w:color w:val="FF0000"/>
          <w:sz w:val="28"/>
          <w:szCs w:val="30"/>
        </w:rPr>
        <w:t>或优于参考品牌。</w:t>
      </w:r>
      <w:r>
        <w:rPr>
          <w:rFonts w:hint="eastAsia" w:hAnsi="宋体" w:eastAsia="宋体"/>
          <w:color w:val="FF0000"/>
          <w:sz w:val="28"/>
          <w:szCs w:val="30"/>
        </w:rPr>
        <w:t>投标人</w:t>
      </w:r>
      <w:r>
        <w:rPr>
          <w:rFonts w:hAnsi="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必须填写此表</w:t>
      </w:r>
      <w:r>
        <w:rPr>
          <w:rFonts w:hint="eastAsia" w:ascii="仿宋" w:eastAsia="仿宋"/>
          <w:b/>
          <w:color w:val="FF0000"/>
          <w:sz w:val="30"/>
          <w:szCs w:val="30"/>
        </w:rPr>
        <w:t>。备注栏</w:t>
      </w:r>
      <w:r>
        <w:rPr>
          <w:rFonts w:ascii="仿宋" w:eastAsia="仿宋"/>
          <w:b/>
          <w:color w:val="FF0000"/>
          <w:sz w:val="30"/>
          <w:szCs w:val="30"/>
        </w:rPr>
        <w:t>可不填写。</w:t>
      </w:r>
    </w:p>
    <w:p>
      <w:pPr>
        <w:rPr>
          <w:rFonts w:asciiTheme="minorHAnsi" w:hAnsiTheme="minorHAnsi" w:eastAsiaTheme="minorEastAsia" w:cstheme="minorBidi"/>
          <w:szCs w:val="22"/>
        </w:rPr>
      </w:pPr>
    </w:p>
    <w:p>
      <w:pPr>
        <w:jc w:val="center"/>
        <w:rPr>
          <w:b/>
          <w:color w:val="FF0000"/>
          <w:sz w:val="32"/>
          <w:szCs w:val="32"/>
        </w:rPr>
      </w:pPr>
    </w:p>
    <w:p>
      <w:pPr>
        <w:jc w:val="center"/>
        <w:rPr>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b/>
          <w:color w:val="FF0000"/>
          <w:sz w:val="32"/>
          <w:szCs w:val="32"/>
        </w:rPr>
      </w:pPr>
    </w:p>
    <w:p>
      <w:pPr>
        <w:spacing w:after="160"/>
        <w:jc w:val="left"/>
        <w:rPr>
          <w:rFonts w:ascii="华文新魏" w:hAnsi="华文新魏" w:eastAsia="华文新魏"/>
          <w:b/>
          <w:sz w:val="48"/>
          <w:szCs w:val="48"/>
        </w:rPr>
      </w:pPr>
    </w:p>
    <w:bookmarkEnd w:id="14"/>
    <w:p>
      <w:pPr>
        <w:autoSpaceDE w:val="0"/>
        <w:autoSpaceDN w:val="0"/>
        <w:adjustRightInd w:val="0"/>
        <w:jc w:val="center"/>
        <w:rPr>
          <w:rFonts w:ascii="华文新魏" w:hAnsi="MS Sans Serif" w:eastAsia="华文新魏"/>
          <w:b/>
          <w:bCs/>
          <w:sz w:val="48"/>
          <w:szCs w:val="46"/>
        </w:rPr>
      </w:pPr>
      <w:bookmarkStart w:id="15" w:name="_Toc119321152"/>
      <w:bookmarkStart w:id="16" w:name="_Toc49329266"/>
      <w:bookmarkStart w:id="17" w:name="_Toc37670364"/>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eastAsiaTheme="minor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rFonts w:hint="eastAsia"/>
          <w:color w:val="FF0000"/>
          <w:sz w:val="24"/>
        </w:rPr>
        <w:t>SZUHQ2</w:t>
      </w:r>
      <w:r>
        <w:rPr>
          <w:color w:val="FF0000"/>
          <w:sz w:val="24"/>
        </w:rPr>
        <w:t>XXXGC</w:t>
      </w:r>
    </w:p>
    <w:p>
      <w:pPr>
        <w:spacing w:line="360" w:lineRule="auto"/>
        <w:ind w:firstLine="480" w:firstLineChars="200"/>
        <w:jc w:val="left"/>
        <w:rPr>
          <w:rFonts w:eastAsiaTheme="minorEastAsia"/>
          <w:color w:val="FF0000"/>
        </w:rPr>
      </w:pPr>
      <w:r>
        <w:rPr>
          <w:rFonts w:hint="eastAsia"/>
          <w:color w:val="000000"/>
          <w:sz w:val="24"/>
        </w:rPr>
        <w:t>项目名称：</w:t>
      </w:r>
      <w:r>
        <w:rPr>
          <w:rFonts w:hint="eastAsia" w:eastAsiaTheme="minorEastAsia"/>
          <w:color w:val="FF0000"/>
        </w:rPr>
        <w:t>X</w:t>
      </w:r>
      <w:r>
        <w:rPr>
          <w:rFonts w:eastAsiaTheme="minorEastAsia"/>
          <w:color w:val="FF0000"/>
        </w:rPr>
        <w:t>XX</w:t>
      </w:r>
      <w:r>
        <w:rPr>
          <w:rFonts w:hint="eastAsia"/>
          <w:color w:val="FF0000"/>
        </w:rPr>
        <w:t>工程</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snapToGri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napToGrid w:val="0"/>
        <w:spacing w:line="288" w:lineRule="auto"/>
        <w:ind w:left="422" w:hanging="422" w:hangingChars="150"/>
        <w:rPr>
          <w:rFonts w:asciiTheme="minorEastAsia" w:hAnsiTheme="minorEastAsia" w:eastAsiaTheme="minorEastAsia"/>
          <w:b/>
          <w:bCs/>
          <w:color w:val="000000"/>
          <w:sz w:val="28"/>
          <w:szCs w:val="28"/>
          <w:lang w:val="en-GB"/>
        </w:rPr>
      </w:pPr>
      <w:r>
        <w:rPr>
          <w:rFonts w:hint="eastAsia" w:asciiTheme="minorEastAsia" w:hAnsiTheme="minorEastAsia" w:eastAsiaTheme="minorEastAsia"/>
          <w:b/>
          <w:bCs/>
          <w:color w:val="000000"/>
          <w:sz w:val="28"/>
          <w:szCs w:val="28"/>
          <w:lang w:val="en-GB"/>
        </w:rPr>
        <w:t>致 深圳大学：</w:t>
      </w:r>
    </w:p>
    <w:p>
      <w:pPr>
        <w:snapToGrid w:val="0"/>
        <w:spacing w:line="312" w:lineRule="auto"/>
        <w:ind w:firstLine="420"/>
        <w:rPr>
          <w:rFonts w:asciiTheme="minorEastAsia" w:hAnsiTheme="minorEastAsia" w:eastAsiaTheme="minorEastAsia"/>
          <w:color w:val="000000"/>
        </w:rPr>
      </w:pPr>
      <w:r>
        <w:rPr>
          <w:rFonts w:hint="eastAsia" w:asciiTheme="minorEastAsia" w:hAnsiTheme="minorEastAsia" w:eastAsiaTheme="minorEastAsia"/>
          <w:color w:val="000000"/>
        </w:rPr>
        <w:t>根据招标文件的要求，现提供已签署和密封的正副本投标文件，并正式授权：</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u w:val="single"/>
        </w:rPr>
        <w:t xml:space="preserve">          （授权代表全名）</w:t>
      </w:r>
      <w:r>
        <w:rPr>
          <w:rFonts w:hint="eastAsia" w:asciiTheme="minorEastAsia" w:hAnsiTheme="minorEastAsia" w:eastAsiaTheme="minorEastAsia"/>
          <w:color w:val="000000"/>
        </w:rPr>
        <w:t>以本公司名义，全权代表我方参加投标和谈判。</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项目名称：</w:t>
      </w:r>
      <w:r>
        <w:rPr>
          <w:rFonts w:hint="eastAsia" w:asciiTheme="minorEastAsia" w:hAnsiTheme="minorEastAsia" w:eastAsiaTheme="minorEastAsia"/>
          <w:color w:val="FF0000"/>
          <w:highlight w:val="yellow"/>
        </w:rPr>
        <w:t>X</w:t>
      </w:r>
      <w:r>
        <w:rPr>
          <w:rFonts w:asciiTheme="minorEastAsia" w:hAnsiTheme="minorEastAsia" w:eastAsiaTheme="minorEastAsia"/>
          <w:color w:val="FF0000"/>
          <w:highlight w:val="yellow"/>
        </w:rPr>
        <w:t>XX</w:t>
      </w:r>
      <w:r>
        <w:rPr>
          <w:rFonts w:hint="eastAsia" w:asciiTheme="minorEastAsia" w:hAnsiTheme="minorEastAsia" w:eastAsiaTheme="minorEastAsia"/>
          <w:color w:val="FF0000"/>
          <w:highlight w:val="yellow"/>
        </w:rPr>
        <w:t>工程</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招标编号：</w:t>
      </w:r>
      <w:r>
        <w:rPr>
          <w:rFonts w:hint="eastAsia" w:asciiTheme="minorEastAsia" w:hAnsiTheme="minorEastAsia" w:eastAsiaTheme="minorEastAsia"/>
          <w:color w:val="FF0000"/>
          <w:highlight w:val="yellow"/>
        </w:rPr>
        <w:t>SZUHQ202211008GC</w:t>
      </w:r>
    </w:p>
    <w:p>
      <w:pPr>
        <w:spacing w:line="420" w:lineRule="exact"/>
        <w:rPr>
          <w:rFonts w:asciiTheme="minorEastAsia" w:hAnsiTheme="minorEastAsia" w:eastAsiaTheme="minorEastAsia"/>
          <w:b/>
          <w:bCs/>
          <w:color w:val="000000"/>
          <w:sz w:val="24"/>
          <w:szCs w:val="24"/>
        </w:rPr>
      </w:pPr>
      <w:r>
        <w:rPr>
          <w:rFonts w:hint="eastAsia" w:asciiTheme="minorEastAsia" w:hAnsiTheme="minorEastAsia" w:eastAsiaTheme="minorEastAsia"/>
          <w:b/>
          <w:bCs/>
          <w:color w:val="000000"/>
          <w:sz w:val="24"/>
          <w:szCs w:val="24"/>
        </w:rPr>
        <w:t>本公司郑重承诺并声明：</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我公司本招标项目所提供的货物或服务未侵犯知识产权。</w:t>
      </w:r>
      <w:r>
        <w:rPr>
          <w:rFonts w:asciiTheme="minorEastAsia" w:hAnsiTheme="minorEastAsia" w:eastAsiaTheme="minorEastAsia"/>
        </w:rPr>
        <w:t xml:space="preserve"> </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我公司参与本项目政府采购活动时不存在被有关部门禁止参与政府采购活动且在有效期内的情况。</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我公司具备《中华人民共和国政府采购法》第二十二条第一款规定的六项条件。</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我公司未被列入失信被执行人、重大税收违法案件当事人名单、政府采购严重违法失信行为记录名单</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我公司参与该项目投标，严格遵守相关法律，投标做到诚实，不造假，不围标、串标、陪标。我公司已清楚，如违反上述要求，投标将无效</w:t>
      </w:r>
      <w:r>
        <w:rPr>
          <w:rFonts w:asciiTheme="minorEastAsia" w:hAnsiTheme="minorEastAsia" w:eastAsiaTheme="minorEastAsia"/>
        </w:rPr>
        <w:t>处理</w:t>
      </w:r>
      <w:r>
        <w:rPr>
          <w:rFonts w:hint="eastAsia" w:asciiTheme="minorEastAsia" w:hAnsiTheme="minorEastAsia" w:eastAsiaTheme="minorEastAsia"/>
        </w:rPr>
        <w:t>，被列入不良记录名单并在网上曝光，同时将被提请深圳大学采购监督管理部门给予一定年限内禁止参与深圳大学后勤保障部采购活动或其他处罚。</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我公司如果中标，做到守信，不偷工减料，依照本项目招标文件需求内容、签署的采购合同及本公司在投标中所作的一切承诺履约。项目验收达到全部指标合格，力争优良。</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ind w:firstLine="420" w:firstLineChars="200"/>
        <w:rPr>
          <w:rFonts w:asciiTheme="minorEastAsia" w:hAnsiTheme="minorEastAsia" w:eastAsiaTheme="minorEastAsia"/>
        </w:rPr>
      </w:pPr>
      <w:r>
        <w:rPr>
          <w:rFonts w:hint="eastAsia" w:asciiTheme="minorEastAsia" w:hAnsiTheme="minorEastAsia" w:eastAsiaTheme="minor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我公司承诺不违法分包转包。</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接受、遵守、满足招标文件招标项目需求的全部内容。</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我单位保证，若所投货物涉及《财政部生态环境部关于印发节能产品政府采购品目清单的通知》（财库〔2019〕19号）列明的政府采购强制产品，则所投该产品符合节能产品的认证要求。</w:t>
      </w:r>
    </w:p>
    <w:p>
      <w:pPr>
        <w:ind w:firstLine="420" w:firstLineChars="200"/>
        <w:rPr>
          <w:rFonts w:ascii="宋体" w:hAnsi="宋体"/>
        </w:rPr>
      </w:pPr>
      <w:r>
        <w:rPr>
          <w:rFonts w:hint="eastAsia" w:ascii="宋体" w:hAnsi="宋体"/>
        </w:rPr>
        <w:t>以上承诺，如有违反，愿依照国家相关法律处理，并承担由此给采购人带来的损失。</w:t>
      </w:r>
    </w:p>
    <w:p>
      <w:pPr>
        <w:tabs>
          <w:tab w:val="left" w:pos="-3780"/>
        </w:tabs>
        <w:snapToGrid w:val="0"/>
        <w:ind w:firstLine="420" w:firstLineChars="200"/>
        <w:rPr>
          <w:color w:val="000000"/>
        </w:rPr>
      </w:pPr>
    </w:p>
    <w:p>
      <w:pPr>
        <w:tabs>
          <w:tab w:val="left" w:pos="-3780"/>
        </w:tabs>
        <w:snapToGrid w:val="0"/>
        <w:spacing w:line="288" w:lineRule="auto"/>
        <w:ind w:firstLine="420" w:firstLineChars="200"/>
        <w:rPr>
          <w:color w:val="000000"/>
        </w:rPr>
      </w:pPr>
      <w:r>
        <w:rPr>
          <w:rFonts w:hint="eastAsia"/>
          <w:color w:val="000000"/>
        </w:rPr>
        <w:t>投标人：</w:t>
      </w:r>
      <w:r>
        <w:rPr>
          <w:rFonts w:hint="eastAsia"/>
          <w:color w:val="000000"/>
          <w:u w:val="single"/>
        </w:rPr>
        <w:t xml:space="preserve">                           （公司名全称）</w:t>
      </w:r>
      <w:r>
        <w:rPr>
          <w:rFonts w:hint="eastAsia"/>
          <w:color w:val="000000"/>
        </w:rPr>
        <w:t>（公章）</w:t>
      </w:r>
    </w:p>
    <w:p>
      <w:pPr>
        <w:tabs>
          <w:tab w:val="left" w:pos="-3780"/>
        </w:tabs>
        <w:snapToGrid w:val="0"/>
        <w:spacing w:line="288" w:lineRule="auto"/>
        <w:ind w:firstLine="420" w:firstLineChars="200"/>
        <w:rPr>
          <w:color w:val="000000"/>
          <w:u w:val="single"/>
        </w:rPr>
      </w:pPr>
      <w:r>
        <w:rPr>
          <w:rFonts w:hint="eastAsia"/>
          <w:color w:val="000000"/>
        </w:rPr>
        <w:t>法定代表人或授权代表：</w:t>
      </w:r>
      <w:r>
        <w:rPr>
          <w:rFonts w:hint="eastAsia"/>
          <w:color w:val="000000"/>
          <w:u w:val="single"/>
        </w:rPr>
        <w:t xml:space="preserve">              （亲笔签名）</w:t>
      </w:r>
    </w:p>
    <w:p>
      <w:pPr>
        <w:tabs>
          <w:tab w:val="left" w:pos="-3780"/>
        </w:tabs>
        <w:snapToGrid w:val="0"/>
        <w:spacing w:line="288" w:lineRule="auto"/>
        <w:ind w:firstLine="420" w:firstLineChars="200"/>
        <w:rPr>
          <w:color w:val="000000"/>
          <w:u w:val="single"/>
        </w:rPr>
      </w:pPr>
      <w:r>
        <w:rPr>
          <w:rFonts w:hint="eastAsia"/>
          <w:color w:val="000000"/>
        </w:rPr>
        <w:t>通讯地址：</w:t>
      </w:r>
      <w:r>
        <w:rPr>
          <w:rFonts w:hint="eastAsia" w:eastAsiaTheme="minorEastAsia"/>
          <w:color w:val="000000"/>
          <w:u w:val="single"/>
        </w:rPr>
        <w:t xml:space="preserve">                                         </w:t>
      </w:r>
      <w:r>
        <w:rPr>
          <w:rFonts w:hint="eastAsia"/>
          <w:color w:val="000000"/>
        </w:rPr>
        <w:t>邮政编码：</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u w:val="single"/>
        </w:rPr>
      </w:pPr>
      <w:r>
        <w:rPr>
          <w:rFonts w:hint="eastAsia"/>
          <w:color w:val="000000"/>
        </w:rPr>
        <w:t>电话：</w:t>
      </w:r>
      <w:r>
        <w:rPr>
          <w:rFonts w:hint="eastAsia" w:eastAsiaTheme="minorEastAsia"/>
          <w:color w:val="000000"/>
          <w:u w:val="single"/>
        </w:rPr>
        <w:t xml:space="preserve">                                     </w:t>
      </w:r>
      <w:r>
        <w:rPr>
          <w:rFonts w:hint="eastAsia" w:eastAsiaTheme="minorEastAsia"/>
          <w:color w:val="000000"/>
        </w:rPr>
        <w:t xml:space="preserve"> </w:t>
      </w:r>
      <w:r>
        <w:rPr>
          <w:rFonts w:hint="eastAsia"/>
          <w:color w:val="000000"/>
        </w:rPr>
        <w:t>传真：</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rPr>
      </w:pPr>
      <w:r>
        <w:rPr>
          <w:rFonts w:hint="eastAsia"/>
          <w:color w:val="000000"/>
        </w:rPr>
        <w:t xml:space="preserve">承诺日期：    </w:t>
      </w:r>
      <w:r>
        <w:rPr>
          <w:rFonts w:hint="eastAsia" w:eastAsiaTheme="minorEastAsia"/>
          <w:color w:val="000000"/>
        </w:rPr>
        <w:t xml:space="preserve">   </w:t>
      </w:r>
      <w:r>
        <w:rPr>
          <w:rFonts w:hint="eastAsia"/>
          <w:color w:val="000000"/>
        </w:rPr>
        <w:t xml:space="preserve">  年   </w:t>
      </w:r>
      <w:r>
        <w:rPr>
          <w:rFonts w:hint="eastAsia" w:eastAsiaTheme="minorEastAsia"/>
          <w:color w:val="000000"/>
        </w:rPr>
        <w:t xml:space="preserve"> </w:t>
      </w:r>
      <w:r>
        <w:rPr>
          <w:rFonts w:hint="eastAsia"/>
          <w:color w:val="000000"/>
        </w:rPr>
        <w:t xml:space="preserve"> 月  </w:t>
      </w:r>
      <w:r>
        <w:rPr>
          <w:rFonts w:hint="eastAsia" w:eastAsiaTheme="minorEastAsia"/>
          <w:color w:val="000000"/>
        </w:rPr>
        <w:t xml:space="preserve"> </w:t>
      </w:r>
      <w:r>
        <w:rPr>
          <w:rFonts w:hint="eastAsia"/>
          <w:color w:val="000000"/>
        </w:rPr>
        <w:t xml:space="preserve">  日</w:t>
      </w:r>
    </w:p>
    <w:p>
      <w:pPr>
        <w:tabs>
          <w:tab w:val="left" w:pos="-3780"/>
        </w:tabs>
        <w:spacing w:line="360" w:lineRule="auto"/>
        <w:rPr>
          <w:rFonts w:eastAsiaTheme="minorEastAsia"/>
          <w:color w:val="FF0000"/>
          <w:lang w:val="en-GB"/>
        </w:rPr>
      </w:pPr>
      <w:r>
        <w:rPr>
          <w:rFonts w:hint="eastAsia"/>
          <w:color w:val="FF0000"/>
          <w:lang w:val="en-GB"/>
        </w:rPr>
        <w:t>注：本承诺函内容不得擅自修改。</w:t>
      </w:r>
    </w:p>
    <w:bookmarkEnd w:id="15"/>
    <w:bookmarkEnd w:id="16"/>
    <w:bookmarkEnd w:id="17"/>
    <w:p>
      <w:pPr>
        <w:tabs>
          <w:tab w:val="left" w:pos="-3780"/>
        </w:tabs>
        <w:spacing w:line="360" w:lineRule="auto"/>
        <w:jc w:val="center"/>
        <w:rPr>
          <w:rFonts w:hAnsi="宋体" w:eastAsia="宋体"/>
        </w:rPr>
      </w:pP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8" w:name="_保证金退付书"/>
      <w:bookmarkEnd w:id="18"/>
      <w:bookmarkStart w:id="19" w:name="_详细配置及工程量清单"/>
      <w:bookmarkEnd w:id="19"/>
      <w:bookmarkStart w:id="20" w:name="_技术条款响应表"/>
      <w:bookmarkEnd w:id="20"/>
      <w:bookmarkStart w:id="21" w:name="_附__件"/>
      <w:bookmarkEnd w:id="21"/>
      <w:bookmarkStart w:id="22" w:name="_投标报价一览表"/>
      <w:bookmarkEnd w:id="22"/>
      <w:bookmarkStart w:id="23" w:name="_2.8_拟任本项目管理及技术人员"/>
      <w:bookmarkEnd w:id="23"/>
      <w:bookmarkStart w:id="24" w:name="_商务条款响应表"/>
      <w:bookmarkEnd w:id="24"/>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5" w:name="_投标承诺函"/>
      <w:bookmarkEnd w:id="25"/>
      <w:bookmarkStart w:id="26" w:name="_Toc38337722"/>
      <w:bookmarkStart w:id="27" w:name="_Toc49329276"/>
      <w:bookmarkStart w:id="28"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6"/>
      <w:r>
        <w:rPr>
          <w:rFonts w:ascii="华文新魏" w:hAnsi="华文新魏" w:eastAsia="华文新魏"/>
          <w:b/>
          <w:sz w:val="48"/>
          <w:szCs w:val="48"/>
        </w:rPr>
        <w:t>面</w:t>
      </w:r>
      <w:bookmarkEnd w:id="27"/>
      <w:r>
        <w:rPr>
          <w:rFonts w:ascii="华文新魏" w:hAnsi="华文新魏" w:eastAsia="华文新魏"/>
          <w:b/>
          <w:sz w:val="48"/>
          <w:szCs w:val="48"/>
        </w:rPr>
        <w:t>格式</w:t>
      </w:r>
      <w:bookmarkEnd w:id="28"/>
    </w:p>
    <w:tbl>
      <w:tblPr>
        <w:tblStyle w:val="27"/>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9" w:name="_Toc108234932"/>
            <w:r>
              <w:rPr>
                <w:rFonts w:ascii="隶书" w:hAnsi="隶书" w:eastAsia="隶书"/>
                <w:b/>
                <w:color w:val="000000"/>
                <w:sz w:val="48"/>
                <w:szCs w:val="48"/>
              </w:rPr>
              <w:t>工程投标文件</w:t>
            </w:r>
            <w:bookmarkEnd w:id="29"/>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预选投标人编号：</w:t>
            </w: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28</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招标编号：SZUHQ202211008GC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6C6B7"/>
    <w:multiLevelType w:val="singleLevel"/>
    <w:tmpl w:val="9936C6B7"/>
    <w:lvl w:ilvl="0" w:tentative="0">
      <w:start w:val="18"/>
      <w:numFmt w:val="chineseCounting"/>
      <w:suff w:val="nothing"/>
      <w:lvlText w:val="%1、"/>
      <w:lvlJc w:val="left"/>
      <w:rPr>
        <w:rFonts w:hint="eastAsia"/>
      </w:rPr>
    </w:lvl>
  </w:abstractNum>
  <w:abstractNum w:abstractNumId="1">
    <w:nsid w:val="FC743A01"/>
    <w:multiLevelType w:val="singleLevel"/>
    <w:tmpl w:val="FC743A01"/>
    <w:lvl w:ilvl="0" w:tentative="0">
      <w:start w:val="1"/>
      <w:numFmt w:val="chineseCounting"/>
      <w:suff w:val="nothing"/>
      <w:lvlText w:val="（%1）"/>
      <w:lvlJc w:val="left"/>
      <w:pPr>
        <w:ind w:left="0" w:firstLine="420"/>
      </w:pPr>
      <w:rPr>
        <w:rFonts w:hint="eastAsia"/>
      </w:rPr>
    </w:lvl>
  </w:abstractNum>
  <w:abstractNum w:abstractNumId="2">
    <w:nsid w:val="00A269C1"/>
    <w:multiLevelType w:val="multilevel"/>
    <w:tmpl w:val="00A269C1"/>
    <w:lvl w:ilvl="0" w:tentative="0">
      <w:start w:val="9"/>
      <w:numFmt w:val="japaneseCounting"/>
      <w:lvlText w:val="%1、"/>
      <w:lvlJc w:val="left"/>
      <w:pPr>
        <w:ind w:left="720" w:hanging="72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86CE58"/>
    <w:multiLevelType w:val="singleLevel"/>
    <w:tmpl w:val="1286CE58"/>
    <w:lvl w:ilvl="0" w:tentative="0">
      <w:start w:val="1"/>
      <w:numFmt w:val="chineseCounting"/>
      <w:suff w:val="nothing"/>
      <w:lvlText w:val="（%1）"/>
      <w:lvlJc w:val="left"/>
      <w:pPr>
        <w:ind w:left="0" w:firstLine="420"/>
      </w:pPr>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2F66F1A0"/>
    <w:multiLevelType w:val="singleLevel"/>
    <w:tmpl w:val="2F66F1A0"/>
    <w:lvl w:ilvl="0" w:tentative="0">
      <w:start w:val="2"/>
      <w:numFmt w:val="decimal"/>
      <w:lvlText w:val="%1."/>
      <w:lvlJc w:val="left"/>
      <w:pPr>
        <w:tabs>
          <w:tab w:val="left" w:pos="312"/>
        </w:tabs>
      </w:pPr>
    </w:lvl>
  </w:abstractNum>
  <w:abstractNum w:abstractNumId="7">
    <w:nsid w:val="581D1325"/>
    <w:multiLevelType w:val="multilevel"/>
    <w:tmpl w:val="581D1325"/>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121"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5D6075A3"/>
    <w:multiLevelType w:val="multilevel"/>
    <w:tmpl w:val="5D6075A3"/>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1405"/>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59D1"/>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ED6208D"/>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CC731A9"/>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3"/>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4"/>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5"/>
    <w:qFormat/>
    <w:uiPriority w:val="9"/>
    <w:pPr>
      <w:ind w:left="1000"/>
      <w:outlineLvl w:val="2"/>
    </w:pPr>
  </w:style>
  <w:style w:type="paragraph" w:styleId="5">
    <w:name w:val="heading 4"/>
    <w:basedOn w:val="1"/>
    <w:next w:val="1"/>
    <w:link w:val="56"/>
    <w:qFormat/>
    <w:uiPriority w:val="10"/>
    <w:pPr>
      <w:ind w:left="1200" w:hanging="400"/>
      <w:outlineLvl w:val="3"/>
    </w:pPr>
    <w:rPr>
      <w:rFonts w:ascii="宋体" w:hAnsi="宋体" w:eastAsia="Times New Roman"/>
      <w:b/>
    </w:rPr>
  </w:style>
  <w:style w:type="paragraph" w:styleId="6">
    <w:name w:val="heading 5"/>
    <w:next w:val="1"/>
    <w:link w:val="57"/>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8"/>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9"/>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60"/>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61"/>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Normal Indent"/>
    <w:basedOn w:val="1"/>
    <w:link w:val="74"/>
    <w:qFormat/>
    <w:uiPriority w:val="0"/>
    <w:pPr>
      <w:widowControl w:val="0"/>
      <w:ind w:firstLine="420"/>
    </w:pPr>
    <w:rPr>
      <w:rFonts w:ascii="Times New Roman" w:hAnsi="Times New Roman" w:eastAsia="宋体"/>
      <w:kern w:val="2"/>
      <w:szCs w:val="20"/>
    </w:rPr>
  </w:style>
  <w:style w:type="paragraph" w:styleId="13">
    <w:name w:val="annotation text"/>
    <w:basedOn w:val="1"/>
    <w:link w:val="73"/>
    <w:qFormat/>
    <w:uiPriority w:val="0"/>
    <w:pPr>
      <w:widowControl w:val="0"/>
      <w:autoSpaceDE w:val="0"/>
      <w:autoSpaceDN w:val="0"/>
      <w:adjustRightInd w:val="0"/>
      <w:jc w:val="left"/>
      <w:textAlignment w:val="baseline"/>
    </w:pPr>
    <w:rPr>
      <w:rFonts w:ascii="宋体" w:hAnsi="Times New Roman" w:eastAsia="宋体"/>
      <w:sz w:val="34"/>
      <w:szCs w:val="20"/>
    </w:rPr>
  </w:style>
  <w:style w:type="paragraph" w:styleId="14">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5">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6">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7">
    <w:name w:val="Balloon Text"/>
    <w:basedOn w:val="1"/>
    <w:link w:val="72"/>
    <w:semiHidden/>
    <w:unhideWhenUsed/>
    <w:qFormat/>
    <w:uiPriority w:val="99"/>
    <w:rPr>
      <w:sz w:val="18"/>
      <w:szCs w:val="18"/>
    </w:rPr>
  </w:style>
  <w:style w:type="paragraph" w:styleId="18">
    <w:name w:val="footer"/>
    <w:basedOn w:val="1"/>
    <w:link w:val="52"/>
    <w:unhideWhenUsed/>
    <w:qFormat/>
    <w:uiPriority w:val="0"/>
    <w:pPr>
      <w:tabs>
        <w:tab w:val="center" w:pos="4153"/>
        <w:tab w:val="right" w:pos="8306"/>
      </w:tabs>
    </w:pPr>
    <w:rPr>
      <w:sz w:val="18"/>
      <w:szCs w:val="18"/>
    </w:rPr>
  </w:style>
  <w:style w:type="paragraph" w:styleId="19">
    <w:name w:val="header"/>
    <w:basedOn w:val="1"/>
    <w:link w:val="51"/>
    <w:unhideWhenUsed/>
    <w:qFormat/>
    <w:uiPriority w:val="0"/>
    <w:pPr>
      <w:tabs>
        <w:tab w:val="center" w:pos="4153"/>
        <w:tab w:val="right" w:pos="8306"/>
      </w:tabs>
      <w:jc w:val="center"/>
    </w:pPr>
    <w:rPr>
      <w:sz w:val="18"/>
      <w:szCs w:val="18"/>
    </w:rPr>
  </w:style>
  <w:style w:type="paragraph" w:styleId="20">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21">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2">
    <w:name w:val="Subtitle"/>
    <w:link w:val="62"/>
    <w:qFormat/>
    <w:uiPriority w:val="16"/>
    <w:pPr>
      <w:jc w:val="center"/>
    </w:pPr>
    <w:rPr>
      <w:rFonts w:ascii="宋体" w:hAnsi="宋体" w:eastAsia="Times New Roman" w:cs="Times New Roman"/>
      <w:sz w:val="24"/>
      <w:szCs w:val="24"/>
      <w:lang w:val="en-US" w:eastAsia="zh-CN" w:bidi="ar-SA"/>
    </w:rPr>
  </w:style>
  <w:style w:type="paragraph" w:styleId="23">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4">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5">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6">
    <w:name w:val="Title"/>
    <w:link w:val="63"/>
    <w:qFormat/>
    <w:uiPriority w:val="6"/>
    <w:pPr>
      <w:jc w:val="center"/>
    </w:pPr>
    <w:rPr>
      <w:rFonts w:ascii="宋体" w:hAnsi="宋体" w:eastAsia="Times New Roman" w:cs="Times New Roman"/>
      <w:b/>
      <w:sz w:val="32"/>
      <w:szCs w:val="32"/>
      <w:lang w:val="en-US" w:eastAsia="zh-CN" w:bidi="ar-SA"/>
    </w:rPr>
  </w:style>
  <w:style w:type="table" w:styleId="28">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0"/>
    <w:rPr>
      <w:b/>
      <w:w w:val="100"/>
      <w:sz w:val="21"/>
      <w:szCs w:val="21"/>
      <w:shd w:val="clear" w:color="000000" w:fill="auto"/>
    </w:rPr>
  </w:style>
  <w:style w:type="character" w:styleId="31">
    <w:name w:val="FollowedHyperlink"/>
    <w:basedOn w:val="29"/>
    <w:unhideWhenUsed/>
    <w:qFormat/>
    <w:uiPriority w:val="0"/>
    <w:rPr>
      <w:color w:val="954F72" w:themeColor="followedHyperlink"/>
      <w:w w:val="100"/>
      <w:sz w:val="20"/>
      <w:szCs w:val="20"/>
      <w:u w:val="single"/>
      <w:shd w:val="clear" w:color="000000" w:fill="auto"/>
      <w14:textFill>
        <w14:solidFill>
          <w14:schemeClr w14:val="folHlink"/>
        </w14:solidFill>
      </w14:textFill>
    </w:rPr>
  </w:style>
  <w:style w:type="character" w:styleId="32">
    <w:name w:val="Emphasis"/>
    <w:qFormat/>
    <w:uiPriority w:val="18"/>
    <w:rPr>
      <w:i/>
      <w:w w:val="100"/>
      <w:sz w:val="21"/>
      <w:szCs w:val="21"/>
      <w:shd w:val="clear" w:color="000000" w:fill="auto"/>
    </w:rPr>
  </w:style>
  <w:style w:type="character" w:styleId="33">
    <w:name w:val="Hyperlink"/>
    <w:basedOn w:val="29"/>
    <w:unhideWhenUsed/>
    <w:qFormat/>
    <w:uiPriority w:val="0"/>
    <w:rPr>
      <w:color w:val="000000"/>
      <w:w w:val="100"/>
      <w:sz w:val="20"/>
      <w:szCs w:val="20"/>
      <w:u w:val="none"/>
      <w:shd w:val="clear" w:color="000000" w:fill="auto"/>
    </w:rPr>
  </w:style>
  <w:style w:type="character" w:styleId="34">
    <w:name w:val="annotation reference"/>
    <w:qFormat/>
    <w:uiPriority w:val="0"/>
    <w:rPr>
      <w:sz w:val="21"/>
      <w:szCs w:val="21"/>
    </w:rPr>
  </w:style>
  <w:style w:type="paragraph" w:styleId="35">
    <w:name w:val="No Spacing"/>
    <w:qFormat/>
    <w:uiPriority w:val="5"/>
    <w:pPr>
      <w:jc w:val="both"/>
    </w:pPr>
    <w:rPr>
      <w:rFonts w:ascii="宋体" w:hAnsi="宋体" w:eastAsia="Times New Roman" w:cs="Times New Roman"/>
      <w:sz w:val="21"/>
      <w:szCs w:val="21"/>
      <w:lang w:val="en-US" w:eastAsia="zh-CN" w:bidi="ar-SA"/>
    </w:rPr>
  </w:style>
  <w:style w:type="character" w:customStyle="1" w:styleId="36">
    <w:name w:val="不明显强调1"/>
    <w:qFormat/>
    <w:uiPriority w:val="17"/>
    <w:rPr>
      <w:i/>
      <w:color w:val="404040"/>
      <w:w w:val="100"/>
      <w:sz w:val="21"/>
      <w:szCs w:val="21"/>
      <w:shd w:val="clear" w:color="000000" w:fill="auto"/>
    </w:rPr>
  </w:style>
  <w:style w:type="character" w:customStyle="1" w:styleId="37">
    <w:name w:val="明显强调1"/>
    <w:qFormat/>
    <w:uiPriority w:val="19"/>
    <w:rPr>
      <w:i/>
      <w:color w:val="5B9BD5"/>
      <w:w w:val="100"/>
      <w:sz w:val="21"/>
      <w:szCs w:val="21"/>
      <w:shd w:val="clear" w:color="000000" w:fill="auto"/>
    </w:rPr>
  </w:style>
  <w:style w:type="paragraph" w:styleId="38">
    <w:name w:val="Quote"/>
    <w:link w:val="64"/>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9">
    <w:name w:val="Intense Quote"/>
    <w:link w:val="65"/>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40">
    <w:name w:val="不明显参考1"/>
    <w:qFormat/>
    <w:uiPriority w:val="23"/>
    <w:rPr>
      <w:smallCaps/>
      <w:color w:val="5A5A5A"/>
      <w:w w:val="100"/>
      <w:sz w:val="21"/>
      <w:szCs w:val="21"/>
      <w:shd w:val="clear" w:color="000000" w:fill="auto"/>
    </w:rPr>
  </w:style>
  <w:style w:type="character" w:customStyle="1" w:styleId="41">
    <w:name w:val="明显参考1"/>
    <w:qFormat/>
    <w:uiPriority w:val="24"/>
    <w:rPr>
      <w:b/>
      <w:smallCaps/>
      <w:color w:val="5B9BD5"/>
      <w:w w:val="100"/>
      <w:sz w:val="21"/>
      <w:szCs w:val="21"/>
      <w:shd w:val="clear" w:color="000000" w:fill="auto"/>
    </w:rPr>
  </w:style>
  <w:style w:type="character" w:customStyle="1" w:styleId="42">
    <w:name w:val="书籍标题1"/>
    <w:qFormat/>
    <w:uiPriority w:val="25"/>
    <w:rPr>
      <w:b/>
      <w:i/>
      <w:w w:val="100"/>
      <w:sz w:val="21"/>
      <w:szCs w:val="21"/>
      <w:shd w:val="clear" w:color="000000" w:fill="auto"/>
    </w:rPr>
  </w:style>
  <w:style w:type="paragraph" w:styleId="43">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4">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5">
    <w:name w:val="不明显强调111"/>
    <w:qFormat/>
    <w:uiPriority w:val="17"/>
    <w:rPr>
      <w:i/>
      <w:color w:val="404040"/>
      <w:w w:val="100"/>
      <w:sz w:val="21"/>
      <w:szCs w:val="21"/>
      <w:shd w:val="clear" w:color="000000" w:fill="auto"/>
    </w:rPr>
  </w:style>
  <w:style w:type="character" w:customStyle="1" w:styleId="46">
    <w:name w:val="明显强调111"/>
    <w:qFormat/>
    <w:uiPriority w:val="19"/>
    <w:rPr>
      <w:i/>
      <w:color w:val="5B9BD5"/>
      <w:w w:val="100"/>
      <w:sz w:val="21"/>
      <w:szCs w:val="21"/>
      <w:shd w:val="clear" w:color="000000" w:fill="auto"/>
    </w:rPr>
  </w:style>
  <w:style w:type="character" w:customStyle="1" w:styleId="47">
    <w:name w:val="不明显参考111"/>
    <w:qFormat/>
    <w:uiPriority w:val="23"/>
    <w:rPr>
      <w:smallCaps/>
      <w:color w:val="5A5A5A"/>
      <w:w w:val="100"/>
      <w:sz w:val="21"/>
      <w:szCs w:val="21"/>
      <w:shd w:val="clear" w:color="000000" w:fill="auto"/>
    </w:rPr>
  </w:style>
  <w:style w:type="character" w:customStyle="1" w:styleId="48">
    <w:name w:val="明显参考111"/>
    <w:qFormat/>
    <w:uiPriority w:val="24"/>
    <w:rPr>
      <w:b/>
      <w:smallCaps/>
      <w:color w:val="5B9BD5"/>
      <w:w w:val="100"/>
      <w:sz w:val="21"/>
      <w:szCs w:val="21"/>
      <w:shd w:val="clear" w:color="000000" w:fill="auto"/>
    </w:rPr>
  </w:style>
  <w:style w:type="character" w:customStyle="1" w:styleId="49">
    <w:name w:val="书籍标题111"/>
    <w:qFormat/>
    <w:uiPriority w:val="25"/>
    <w:rPr>
      <w:b/>
      <w:i/>
      <w:w w:val="100"/>
      <w:sz w:val="21"/>
      <w:szCs w:val="21"/>
      <w:shd w:val="clear" w:color="000000" w:fill="auto"/>
    </w:rPr>
  </w:style>
  <w:style w:type="paragraph" w:customStyle="1" w:styleId="50">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51">
    <w:name w:val="页眉 Char"/>
    <w:basedOn w:val="29"/>
    <w:link w:val="19"/>
    <w:qFormat/>
    <w:uiPriority w:val="0"/>
    <w:rPr>
      <w:w w:val="100"/>
      <w:sz w:val="18"/>
      <w:szCs w:val="18"/>
      <w:shd w:val="clear" w:color="000000" w:fill="auto"/>
    </w:rPr>
  </w:style>
  <w:style w:type="character" w:customStyle="1" w:styleId="52">
    <w:name w:val="页脚 Char"/>
    <w:basedOn w:val="29"/>
    <w:link w:val="18"/>
    <w:qFormat/>
    <w:uiPriority w:val="0"/>
    <w:rPr>
      <w:w w:val="100"/>
      <w:sz w:val="18"/>
      <w:szCs w:val="18"/>
      <w:shd w:val="clear" w:color="000000" w:fill="auto"/>
    </w:rPr>
  </w:style>
  <w:style w:type="character" w:customStyle="1" w:styleId="53">
    <w:name w:val="标题 1 Char"/>
    <w:basedOn w:val="29"/>
    <w:link w:val="2"/>
    <w:qFormat/>
    <w:uiPriority w:val="7"/>
    <w:rPr>
      <w:rFonts w:ascii="宋体" w:hAnsi="宋体" w:eastAsia="Times New Roman"/>
      <w:sz w:val="28"/>
      <w:szCs w:val="28"/>
    </w:rPr>
  </w:style>
  <w:style w:type="character" w:customStyle="1" w:styleId="54">
    <w:name w:val="标题 2 Char"/>
    <w:basedOn w:val="29"/>
    <w:link w:val="3"/>
    <w:qFormat/>
    <w:uiPriority w:val="8"/>
    <w:rPr>
      <w:rFonts w:ascii="宋体" w:hAnsi="宋体" w:eastAsia="Times New Roman"/>
      <w:sz w:val="21"/>
      <w:szCs w:val="21"/>
    </w:rPr>
  </w:style>
  <w:style w:type="character" w:customStyle="1" w:styleId="55">
    <w:name w:val="标题 3 Char"/>
    <w:basedOn w:val="29"/>
    <w:link w:val="4"/>
    <w:qFormat/>
    <w:uiPriority w:val="9"/>
    <w:rPr>
      <w:rFonts w:ascii="宋体" w:hAnsi="宋体" w:eastAsia="Times New Roman"/>
      <w:sz w:val="21"/>
      <w:szCs w:val="21"/>
    </w:rPr>
  </w:style>
  <w:style w:type="character" w:customStyle="1" w:styleId="56">
    <w:name w:val="标题 4 Char"/>
    <w:basedOn w:val="29"/>
    <w:link w:val="5"/>
    <w:qFormat/>
    <w:uiPriority w:val="10"/>
    <w:rPr>
      <w:rFonts w:ascii="宋体" w:hAnsi="宋体" w:eastAsia="Times New Roman"/>
      <w:b/>
      <w:sz w:val="21"/>
      <w:szCs w:val="21"/>
    </w:rPr>
  </w:style>
  <w:style w:type="character" w:customStyle="1" w:styleId="57">
    <w:name w:val="标题 5 Char"/>
    <w:basedOn w:val="29"/>
    <w:link w:val="6"/>
    <w:qFormat/>
    <w:uiPriority w:val="11"/>
    <w:rPr>
      <w:rFonts w:ascii="宋体" w:hAnsi="宋体" w:eastAsia="Times New Roman"/>
      <w:sz w:val="21"/>
      <w:szCs w:val="21"/>
    </w:rPr>
  </w:style>
  <w:style w:type="character" w:customStyle="1" w:styleId="58">
    <w:name w:val="标题 6 Char"/>
    <w:basedOn w:val="29"/>
    <w:link w:val="7"/>
    <w:qFormat/>
    <w:uiPriority w:val="12"/>
    <w:rPr>
      <w:rFonts w:ascii="宋体" w:hAnsi="宋体" w:eastAsia="Times New Roman"/>
      <w:b/>
      <w:sz w:val="21"/>
      <w:szCs w:val="21"/>
    </w:rPr>
  </w:style>
  <w:style w:type="character" w:customStyle="1" w:styleId="59">
    <w:name w:val="标题 7 Char"/>
    <w:basedOn w:val="29"/>
    <w:link w:val="8"/>
    <w:qFormat/>
    <w:uiPriority w:val="13"/>
    <w:rPr>
      <w:rFonts w:ascii="宋体" w:hAnsi="宋体" w:eastAsia="Times New Roman"/>
      <w:sz w:val="21"/>
      <w:szCs w:val="21"/>
    </w:rPr>
  </w:style>
  <w:style w:type="character" w:customStyle="1" w:styleId="60">
    <w:name w:val="标题 8 Char"/>
    <w:basedOn w:val="29"/>
    <w:link w:val="9"/>
    <w:qFormat/>
    <w:uiPriority w:val="14"/>
    <w:rPr>
      <w:rFonts w:ascii="宋体" w:hAnsi="宋体" w:eastAsia="Times New Roman"/>
      <w:sz w:val="21"/>
      <w:szCs w:val="21"/>
    </w:rPr>
  </w:style>
  <w:style w:type="character" w:customStyle="1" w:styleId="61">
    <w:name w:val="标题 9 Char"/>
    <w:basedOn w:val="29"/>
    <w:link w:val="10"/>
    <w:qFormat/>
    <w:uiPriority w:val="15"/>
    <w:rPr>
      <w:rFonts w:ascii="宋体" w:hAnsi="宋体" w:eastAsia="Times New Roman"/>
      <w:sz w:val="21"/>
      <w:szCs w:val="21"/>
    </w:rPr>
  </w:style>
  <w:style w:type="character" w:customStyle="1" w:styleId="62">
    <w:name w:val="副标题 Char"/>
    <w:basedOn w:val="29"/>
    <w:link w:val="22"/>
    <w:qFormat/>
    <w:uiPriority w:val="16"/>
    <w:rPr>
      <w:rFonts w:ascii="宋体" w:hAnsi="宋体" w:eastAsia="Times New Roman"/>
      <w:sz w:val="24"/>
      <w:szCs w:val="24"/>
    </w:rPr>
  </w:style>
  <w:style w:type="character" w:customStyle="1" w:styleId="63">
    <w:name w:val="标题 Char"/>
    <w:basedOn w:val="29"/>
    <w:link w:val="26"/>
    <w:qFormat/>
    <w:uiPriority w:val="6"/>
    <w:rPr>
      <w:rFonts w:ascii="宋体" w:hAnsi="宋体" w:eastAsia="Times New Roman"/>
      <w:b/>
      <w:sz w:val="32"/>
      <w:szCs w:val="32"/>
    </w:rPr>
  </w:style>
  <w:style w:type="character" w:customStyle="1" w:styleId="64">
    <w:name w:val="引用 Char"/>
    <w:basedOn w:val="29"/>
    <w:link w:val="38"/>
    <w:qFormat/>
    <w:uiPriority w:val="21"/>
    <w:rPr>
      <w:rFonts w:ascii="宋体" w:hAnsi="宋体" w:eastAsia="Times New Roman"/>
      <w:i/>
      <w:color w:val="404040"/>
      <w:sz w:val="21"/>
      <w:szCs w:val="21"/>
    </w:rPr>
  </w:style>
  <w:style w:type="character" w:customStyle="1" w:styleId="65">
    <w:name w:val="明显引用 Char"/>
    <w:basedOn w:val="29"/>
    <w:link w:val="39"/>
    <w:qFormat/>
    <w:uiPriority w:val="22"/>
    <w:rPr>
      <w:rFonts w:ascii="宋体" w:hAnsi="宋体" w:eastAsia="Times New Roman"/>
      <w:i/>
      <w:color w:val="5B9BD5"/>
      <w:sz w:val="21"/>
      <w:szCs w:val="21"/>
    </w:rPr>
  </w:style>
  <w:style w:type="character" w:customStyle="1" w:styleId="66">
    <w:name w:val="不明显强调11"/>
    <w:qFormat/>
    <w:uiPriority w:val="0"/>
    <w:rPr>
      <w:i/>
      <w:color w:val="404040"/>
      <w:w w:val="100"/>
      <w:sz w:val="21"/>
      <w:szCs w:val="21"/>
      <w:shd w:val="clear" w:color="000000" w:fill="auto"/>
    </w:rPr>
  </w:style>
  <w:style w:type="character" w:customStyle="1" w:styleId="67">
    <w:name w:val="明显强调11"/>
    <w:qFormat/>
    <w:uiPriority w:val="0"/>
    <w:rPr>
      <w:i/>
      <w:color w:val="5B9BD5"/>
      <w:w w:val="100"/>
      <w:sz w:val="21"/>
      <w:szCs w:val="21"/>
      <w:shd w:val="clear" w:color="000000" w:fill="auto"/>
    </w:rPr>
  </w:style>
  <w:style w:type="character" w:customStyle="1" w:styleId="68">
    <w:name w:val="不明显参考11"/>
    <w:qFormat/>
    <w:uiPriority w:val="0"/>
    <w:rPr>
      <w:smallCaps/>
      <w:color w:val="5A5A5A"/>
      <w:w w:val="100"/>
      <w:sz w:val="21"/>
      <w:szCs w:val="21"/>
      <w:shd w:val="clear" w:color="000000" w:fill="auto"/>
    </w:rPr>
  </w:style>
  <w:style w:type="character" w:customStyle="1" w:styleId="69">
    <w:name w:val="明显参考11"/>
    <w:qFormat/>
    <w:uiPriority w:val="0"/>
    <w:rPr>
      <w:b/>
      <w:smallCaps/>
      <w:color w:val="5B9BD5"/>
      <w:w w:val="100"/>
      <w:sz w:val="21"/>
      <w:szCs w:val="21"/>
      <w:shd w:val="clear" w:color="000000" w:fill="auto"/>
    </w:rPr>
  </w:style>
  <w:style w:type="character" w:customStyle="1" w:styleId="70">
    <w:name w:val="书籍标题11"/>
    <w:qFormat/>
    <w:uiPriority w:val="0"/>
    <w:rPr>
      <w:b/>
      <w:i/>
      <w:w w:val="100"/>
      <w:sz w:val="21"/>
      <w:szCs w:val="21"/>
      <w:shd w:val="clear" w:color="000000" w:fill="auto"/>
    </w:rPr>
  </w:style>
  <w:style w:type="paragraph" w:customStyle="1" w:styleId="71">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2">
    <w:name w:val="批注框文本 Char"/>
    <w:basedOn w:val="29"/>
    <w:link w:val="17"/>
    <w:semiHidden/>
    <w:qFormat/>
    <w:uiPriority w:val="99"/>
    <w:rPr>
      <w:rFonts w:ascii="Calibri" w:hAnsi="Calibri" w:eastAsia="Calibri"/>
      <w:sz w:val="18"/>
      <w:szCs w:val="18"/>
    </w:rPr>
  </w:style>
  <w:style w:type="character" w:customStyle="1" w:styleId="73">
    <w:name w:val="批注文字 Char"/>
    <w:basedOn w:val="29"/>
    <w:link w:val="13"/>
    <w:qFormat/>
    <w:uiPriority w:val="0"/>
    <w:rPr>
      <w:rFonts w:ascii="宋体"/>
      <w:sz w:val="34"/>
    </w:rPr>
  </w:style>
  <w:style w:type="character" w:customStyle="1" w:styleId="74">
    <w:name w:val="正文缩进 Char"/>
    <w:link w:val="12"/>
    <w:qFormat/>
    <w:uiPriority w:val="0"/>
    <w:rPr>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DA44E7-045C-43CA-BC82-FCB6675B853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12887</Words>
  <Characters>13441</Characters>
  <Lines>133</Lines>
  <Paragraphs>37</Paragraphs>
  <TotalTime>5</TotalTime>
  <ScaleCrop>false</ScaleCrop>
  <LinksUpToDate>false</LinksUpToDate>
  <CharactersWithSpaces>13980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2022-11-17T03:19:00Z</dcterms:created>
  <dc:creator>王吉春</dc:creator>
  <cp:lastModifiedBy>Epin</cp:lastModifiedBy>
  <cp:lastPrinted>2022-07-08T03:40:00Z</cp:lastPrinted>
  <dcterms:modified xsi:type="dcterms:W3CDTF">2022-11-18T08:02:30Z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